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95" w:rsidRDefault="00A12D95" w:rsidP="006723E5">
      <w:pPr>
        <w:jc w:val="center"/>
        <w:rPr>
          <w:b/>
          <w:sz w:val="28"/>
          <w:szCs w:val="28"/>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both"/>
        <w:rPr>
          <w:color w:val="000000"/>
        </w:rPr>
      </w:pPr>
    </w:p>
    <w:p w:rsidR="00DD565E" w:rsidRPr="00B07CD9" w:rsidRDefault="00DD565E" w:rsidP="00DD565E">
      <w:pPr>
        <w:jc w:val="center"/>
        <w:rPr>
          <w:b/>
          <w:color w:val="000000"/>
          <w:sz w:val="80"/>
          <w:szCs w:val="80"/>
        </w:rPr>
      </w:pPr>
      <w:r w:rsidRPr="00B07CD9">
        <w:rPr>
          <w:b/>
          <w:color w:val="000000"/>
          <w:sz w:val="80"/>
          <w:szCs w:val="80"/>
        </w:rPr>
        <w:t>Abstract samples</w:t>
      </w:r>
    </w:p>
    <w:p w:rsidR="00DD565E" w:rsidRPr="00B07CD9" w:rsidRDefault="00DD565E" w:rsidP="00DD565E">
      <w:pPr>
        <w:jc w:val="both"/>
        <w:rPr>
          <w:color w:val="000000"/>
        </w:rPr>
      </w:pPr>
    </w:p>
    <w:p w:rsidR="00DD565E" w:rsidRPr="00B07CD9" w:rsidRDefault="00DD565E" w:rsidP="00DD565E">
      <w:pPr>
        <w:rPr>
          <w:color w:val="000000"/>
        </w:rPr>
      </w:pPr>
      <w:r w:rsidRPr="00B07CD9">
        <w:rPr>
          <w:color w:val="000000"/>
        </w:rPr>
        <w:br w:type="page"/>
      </w:r>
    </w:p>
    <w:p w:rsidR="00DD565E" w:rsidRDefault="00DD565E" w:rsidP="00DD565E">
      <w:pPr>
        <w:autoSpaceDE w:val="0"/>
        <w:autoSpaceDN w:val="0"/>
        <w:adjustRightInd w:val="0"/>
        <w:jc w:val="center"/>
        <w:rPr>
          <w:b/>
          <w:bCs/>
          <w:sz w:val="28"/>
          <w:szCs w:val="28"/>
        </w:rPr>
      </w:pPr>
    </w:p>
    <w:p w:rsidR="00DD565E" w:rsidRPr="005D3481" w:rsidRDefault="00DD565E" w:rsidP="00DD565E">
      <w:pPr>
        <w:autoSpaceDE w:val="0"/>
        <w:autoSpaceDN w:val="0"/>
        <w:adjustRightInd w:val="0"/>
        <w:jc w:val="center"/>
        <w:rPr>
          <w:b/>
          <w:bCs/>
          <w:sz w:val="28"/>
          <w:szCs w:val="28"/>
        </w:rPr>
      </w:pPr>
      <w:r w:rsidRPr="005D3481">
        <w:rPr>
          <w:b/>
          <w:bCs/>
          <w:sz w:val="28"/>
          <w:szCs w:val="28"/>
        </w:rPr>
        <w:t>DEGRADATION OF LIPID REGULATORS AND TRITON X-100 NONIONIC DETERGENT BY IONIZING RADIATION</w:t>
      </w:r>
    </w:p>
    <w:p w:rsidR="00DD565E" w:rsidRPr="00605E78" w:rsidRDefault="00DD565E" w:rsidP="00DD565E">
      <w:pPr>
        <w:autoSpaceDE w:val="0"/>
        <w:autoSpaceDN w:val="0"/>
        <w:adjustRightInd w:val="0"/>
        <w:jc w:val="center"/>
        <w:rPr>
          <w:bCs/>
        </w:rPr>
      </w:pPr>
    </w:p>
    <w:p w:rsidR="00DD565E" w:rsidRPr="005D3481" w:rsidRDefault="00DD565E" w:rsidP="00DD565E">
      <w:pPr>
        <w:autoSpaceDE w:val="0"/>
        <w:autoSpaceDN w:val="0"/>
        <w:adjustRightInd w:val="0"/>
        <w:jc w:val="center"/>
        <w:rPr>
          <w:bCs/>
        </w:rPr>
      </w:pPr>
      <w:r w:rsidRPr="005D3481">
        <w:rPr>
          <w:bCs/>
          <w:u w:val="single"/>
        </w:rPr>
        <w:t xml:space="preserve">G. </w:t>
      </w:r>
      <w:proofErr w:type="spellStart"/>
      <w:r w:rsidRPr="005D3481">
        <w:rPr>
          <w:bCs/>
          <w:u w:val="single"/>
        </w:rPr>
        <w:t>Rácz</w:t>
      </w:r>
      <w:proofErr w:type="spellEnd"/>
      <w:r w:rsidRPr="005D3481">
        <w:t xml:space="preserve">, </w:t>
      </w:r>
      <w:r w:rsidRPr="005D3481">
        <w:rPr>
          <w:bCs/>
        </w:rPr>
        <w:t xml:space="preserve">T. </w:t>
      </w:r>
      <w:proofErr w:type="spellStart"/>
      <w:r w:rsidRPr="005D3481">
        <w:rPr>
          <w:bCs/>
        </w:rPr>
        <w:t>Csay</w:t>
      </w:r>
      <w:proofErr w:type="spellEnd"/>
      <w:r w:rsidRPr="005D3481">
        <w:rPr>
          <w:bCs/>
        </w:rPr>
        <w:t xml:space="preserve">, E. </w:t>
      </w:r>
      <w:proofErr w:type="spellStart"/>
      <w:r w:rsidRPr="005D3481">
        <w:rPr>
          <w:bCs/>
        </w:rPr>
        <w:t>Takács</w:t>
      </w:r>
      <w:proofErr w:type="spellEnd"/>
      <w:r w:rsidRPr="005D3481">
        <w:t xml:space="preserve">, </w:t>
      </w:r>
      <w:r w:rsidRPr="005D3481">
        <w:rPr>
          <w:bCs/>
        </w:rPr>
        <w:t xml:space="preserve">L. </w:t>
      </w:r>
      <w:proofErr w:type="spellStart"/>
      <w:r w:rsidRPr="005D3481">
        <w:rPr>
          <w:bCs/>
        </w:rPr>
        <w:t>Wojnárovits</w:t>
      </w:r>
      <w:proofErr w:type="spellEnd"/>
      <w:r w:rsidRPr="005D3481">
        <w:rPr>
          <w:bCs/>
        </w:rPr>
        <w:t xml:space="preserve"> </w:t>
      </w:r>
    </w:p>
    <w:p w:rsidR="00DD565E" w:rsidRPr="005D3481" w:rsidRDefault="00DD565E" w:rsidP="00DD565E">
      <w:pPr>
        <w:jc w:val="center"/>
      </w:pPr>
      <w:r w:rsidRPr="005D3481">
        <w:t>Institute for Energy Security and Environmental Safe</w:t>
      </w:r>
      <w:r>
        <w:t xml:space="preserve">ty, Centre for Energy Research, </w:t>
      </w:r>
      <w:r w:rsidRPr="005D3481">
        <w:t>Hungarian Academy of Sciences, Budapest, Hungary</w:t>
      </w:r>
    </w:p>
    <w:p w:rsidR="00DD565E" w:rsidRPr="005D3481" w:rsidRDefault="00DD565E" w:rsidP="00DD565E">
      <w:pPr>
        <w:autoSpaceDE w:val="0"/>
        <w:autoSpaceDN w:val="0"/>
        <w:adjustRightInd w:val="0"/>
        <w:jc w:val="center"/>
        <w:rPr>
          <w:u w:val="single"/>
        </w:rPr>
      </w:pPr>
    </w:p>
    <w:p w:rsidR="00DD565E" w:rsidRPr="005D3481" w:rsidRDefault="00DD565E" w:rsidP="00DD565E">
      <w:pPr>
        <w:autoSpaceDE w:val="0"/>
        <w:autoSpaceDN w:val="0"/>
        <w:adjustRightInd w:val="0"/>
        <w:jc w:val="both"/>
      </w:pPr>
      <w:r w:rsidRPr="005D3481">
        <w:t>In this work the radiation induced decomposition of Triton X-100 (TX-100)</w:t>
      </w:r>
      <w:proofErr w:type="gramStart"/>
      <w:r w:rsidRPr="005D3481">
        <w:t>,</w:t>
      </w:r>
      <w:proofErr w:type="gramEnd"/>
      <w:r w:rsidRPr="005D3481">
        <w:t xml:space="preserve"> nonionic detergent was studied alone and in combination with fibrate type lipid regulators. Lipid regulators are usually hydrophobic compounds with very low solubility in water. Detergents are always present in municipal wastewater improving the solubility of solutes in water. This practical situation was simulated by adding </w:t>
      </w:r>
      <w:proofErr w:type="spellStart"/>
      <w:r w:rsidRPr="005D3481">
        <w:t>nonioinic</w:t>
      </w:r>
      <w:proofErr w:type="spellEnd"/>
      <w:r w:rsidRPr="005D3481">
        <w:t xml:space="preserve"> detergent to the fibrate solution. The detergent improved the water solubility of the lipid regulator, therefore, we had an opportunity to study the degradation of the moderately water soluble </w:t>
      </w:r>
      <w:proofErr w:type="spellStart"/>
      <w:r w:rsidRPr="005D3481">
        <w:t>clofibric</w:t>
      </w:r>
      <w:proofErr w:type="spellEnd"/>
      <w:r w:rsidRPr="005D3481">
        <w:t xml:space="preserve"> acid</w:t>
      </w:r>
      <w:r>
        <w:t xml:space="preserve"> (CFA) in a </w:t>
      </w:r>
      <w:proofErr w:type="spellStart"/>
      <w:r>
        <w:t>nonmicellar</w:t>
      </w:r>
      <w:proofErr w:type="spellEnd"/>
      <w:r>
        <w:t xml:space="preserve"> system. </w:t>
      </w:r>
      <w:r w:rsidRPr="005D3481">
        <w:t>Co-60 gamma source was applied to produce the reactive intermediates (</w:t>
      </w:r>
      <w:r w:rsidRPr="005D3481">
        <w:rPr>
          <w:rFonts w:eastAsia="TimesNewRoman"/>
          <w:vertAlign w:val="superscript"/>
        </w:rPr>
        <w:t>•</w:t>
      </w:r>
      <w:r w:rsidRPr="005D3481">
        <w:t>OH, H</w:t>
      </w:r>
      <w:r w:rsidRPr="005D3481">
        <w:rPr>
          <w:rFonts w:eastAsia="TimesNewRoman"/>
          <w:vertAlign w:val="superscript"/>
        </w:rPr>
        <w:t>•</w:t>
      </w:r>
      <w:r w:rsidRPr="005D3481">
        <w:rPr>
          <w:rFonts w:eastAsia="TimesNewRoman"/>
        </w:rPr>
        <w:t xml:space="preserve"> </w:t>
      </w:r>
      <w:r w:rsidRPr="005D3481">
        <w:t xml:space="preserve">and </w:t>
      </w:r>
      <w:proofErr w:type="spellStart"/>
      <w:r w:rsidRPr="005D3481">
        <w:t>e</w:t>
      </w:r>
      <w:r w:rsidRPr="005D3481">
        <w:rPr>
          <w:vertAlign w:val="subscript"/>
        </w:rPr>
        <w:t>aq</w:t>
      </w:r>
      <w:proofErr w:type="spellEnd"/>
      <w:r w:rsidRPr="005D3481">
        <w:rPr>
          <w:rFonts w:eastAsia="TimesNewRoman"/>
          <w:vertAlign w:val="superscript"/>
        </w:rPr>
        <w:t>–</w:t>
      </w:r>
      <w:r w:rsidRPr="005D3481">
        <w:t xml:space="preserve">). The degradation was followed with UV-visible spectrophotometer. LC-MS/MS and GC-MS were applied for the separation and identification of the degradation products. The degree of the </w:t>
      </w:r>
      <w:proofErr w:type="spellStart"/>
      <w:r w:rsidRPr="005D3481">
        <w:t>mineralisation</w:t>
      </w:r>
      <w:proofErr w:type="spellEnd"/>
      <w:r w:rsidRPr="005D3481">
        <w:t>, oxidation and acidity of the solution was characterized with chemical oxyge</w:t>
      </w:r>
      <w:r>
        <w:t xml:space="preserve">n demand, total organic carbon </w:t>
      </w:r>
      <w:r w:rsidRPr="005D3481">
        <w:t xml:space="preserve">and pH measurements, respectively. The shift of critical micelle concentration (CMC) with absorbed dose was observed with </w:t>
      </w:r>
      <w:proofErr w:type="spellStart"/>
      <w:r w:rsidRPr="005D3481">
        <w:t>tensiometric</w:t>
      </w:r>
      <w:proofErr w:type="spellEnd"/>
      <w:r w:rsidRPr="005D3481">
        <w:t xml:space="preserve"> measurements (Fig</w:t>
      </w:r>
      <w:r>
        <w:t xml:space="preserve">ure </w:t>
      </w:r>
      <w:r w:rsidRPr="005D3481">
        <w:t>1). Based on the results obtained by these methods degradation pathways for TX-100 and CFA were suggested. In the presence of detergent the efficiency of the decomposition of the fibrate was much lower than without detergent, although, even this case a considerable degradation was observed. It is assumed that the efficiency of degradation in the reaction of hydroxyl radical and fibrates is higher than that of the reaction between OH ra</w:t>
      </w:r>
      <w:r>
        <w:t>dical and TX-100.</w:t>
      </w:r>
    </w:p>
    <w:p w:rsidR="00DD565E" w:rsidRPr="005D3481" w:rsidRDefault="00DD565E" w:rsidP="00DD565E">
      <w:pPr>
        <w:autoSpaceDE w:val="0"/>
        <w:autoSpaceDN w:val="0"/>
        <w:adjustRightInd w:val="0"/>
        <w:ind w:firstLine="708"/>
        <w:jc w:val="center"/>
      </w:pPr>
      <w:r w:rsidRPr="005D3481">
        <w:object w:dxaOrig="4908" w:dyaOrig="3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80pt" o:ole="">
            <v:imagedata r:id="rId9" o:title=""/>
          </v:shape>
          <o:OLEObject Type="Embed" ProgID="Origin50.Graph" ShapeID="_x0000_i1025" DrawAspect="Content" ObjectID="_1603609830" r:id="rId10"/>
        </w:object>
      </w:r>
    </w:p>
    <w:p w:rsidR="00DD565E" w:rsidRPr="005D3481" w:rsidRDefault="00DD565E" w:rsidP="00DD565E">
      <w:pPr>
        <w:autoSpaceDE w:val="0"/>
        <w:autoSpaceDN w:val="0"/>
        <w:adjustRightInd w:val="0"/>
        <w:jc w:val="center"/>
        <w:rPr>
          <w:sz w:val="20"/>
        </w:rPr>
      </w:pPr>
      <w:proofErr w:type="gramStart"/>
      <w:r>
        <w:rPr>
          <w:sz w:val="20"/>
        </w:rPr>
        <w:t>Figure 1.</w:t>
      </w:r>
      <w:proofErr w:type="gramEnd"/>
      <w:r>
        <w:rPr>
          <w:sz w:val="20"/>
        </w:rPr>
        <w:t xml:space="preserve"> </w:t>
      </w:r>
      <w:r w:rsidRPr="005D3481">
        <w:rPr>
          <w:sz w:val="20"/>
        </w:rPr>
        <w:t>Surface tension values measured in irradiated TX-100 solutions. The table shows the change in CMC values with the dose</w:t>
      </w:r>
      <w:r>
        <w:rPr>
          <w:sz w:val="20"/>
        </w:rPr>
        <w:t>.</w:t>
      </w:r>
    </w:p>
    <w:p w:rsidR="00DD565E" w:rsidRDefault="00DD565E" w:rsidP="00DD565E">
      <w:pPr>
        <w:jc w:val="center"/>
        <w:rPr>
          <w:b/>
          <w:sz w:val="28"/>
          <w:szCs w:val="28"/>
        </w:rPr>
      </w:pPr>
    </w:p>
    <w:p w:rsidR="00DD565E" w:rsidRDefault="00DD565E" w:rsidP="00DD565E">
      <w:pPr>
        <w:jc w:val="center"/>
        <w:rPr>
          <w:b/>
          <w:sz w:val="28"/>
          <w:szCs w:val="28"/>
        </w:rPr>
      </w:pPr>
    </w:p>
    <w:p w:rsidR="00DD565E" w:rsidRDefault="00DD565E" w:rsidP="00DD565E">
      <w:pPr>
        <w:jc w:val="center"/>
        <w:rPr>
          <w:b/>
          <w:sz w:val="28"/>
          <w:szCs w:val="28"/>
        </w:rPr>
      </w:pPr>
    </w:p>
    <w:p w:rsidR="00DD565E" w:rsidRDefault="00DD565E" w:rsidP="00DD565E">
      <w:pPr>
        <w:jc w:val="center"/>
        <w:rPr>
          <w:b/>
          <w:sz w:val="28"/>
          <w:szCs w:val="28"/>
        </w:rPr>
      </w:pPr>
    </w:p>
    <w:p w:rsidR="00DD565E" w:rsidRPr="000C1EF0" w:rsidRDefault="00DD565E" w:rsidP="00DD565E">
      <w:pPr>
        <w:jc w:val="center"/>
        <w:rPr>
          <w:b/>
          <w:sz w:val="28"/>
          <w:szCs w:val="28"/>
        </w:rPr>
      </w:pPr>
      <w:r w:rsidRPr="000C1EF0">
        <w:rPr>
          <w:b/>
          <w:sz w:val="28"/>
          <w:szCs w:val="28"/>
        </w:rPr>
        <w:t>ENHANCING THE BIOLOGICAL DEGRADABILITY OF SULFAMETHOXAZOLE BY IONIZING RADIATION TREATMENT IN AQUEOUS SOLUTION</w:t>
      </w:r>
    </w:p>
    <w:p w:rsidR="00DD565E" w:rsidRPr="00605E78" w:rsidRDefault="00DD565E" w:rsidP="00DD565E">
      <w:pPr>
        <w:jc w:val="center"/>
        <w:rPr>
          <w:b/>
        </w:rPr>
      </w:pPr>
    </w:p>
    <w:p w:rsidR="00DD565E" w:rsidRPr="000C1EF0" w:rsidRDefault="00DD565E" w:rsidP="00DD565E">
      <w:pPr>
        <w:jc w:val="center"/>
      </w:pPr>
      <w:proofErr w:type="spellStart"/>
      <w:proofErr w:type="gramStart"/>
      <w:r w:rsidRPr="008F281D">
        <w:rPr>
          <w:u w:val="single"/>
        </w:rPr>
        <w:t>Gy</w:t>
      </w:r>
      <w:proofErr w:type="spellEnd"/>
      <w:r w:rsidRPr="008F281D">
        <w:rPr>
          <w:u w:val="single"/>
        </w:rPr>
        <w:t>.</w:t>
      </w:r>
      <w:proofErr w:type="gramEnd"/>
      <w:r w:rsidRPr="008F281D">
        <w:rPr>
          <w:u w:val="single"/>
        </w:rPr>
        <w:t xml:space="preserve"> Sági</w:t>
      </w:r>
      <w:r w:rsidRPr="008F281D">
        <w:rPr>
          <w:u w:val="single"/>
          <w:vertAlign w:val="superscript"/>
        </w:rPr>
        <w:t>1</w:t>
      </w:r>
      <w:r w:rsidRPr="000C1EF0">
        <w:t>, K. Kovács</w:t>
      </w:r>
      <w:r w:rsidRPr="000C1EF0">
        <w:rPr>
          <w:vertAlign w:val="superscript"/>
        </w:rPr>
        <w:t>1</w:t>
      </w:r>
      <w:r w:rsidRPr="000C1EF0">
        <w:t>, A. Bezsenyi</w:t>
      </w:r>
      <w:r w:rsidRPr="000C1EF0">
        <w:rPr>
          <w:vertAlign w:val="superscript"/>
        </w:rPr>
        <w:t>2</w:t>
      </w:r>
      <w:r w:rsidRPr="000C1EF0">
        <w:t>, T. Csay</w:t>
      </w:r>
      <w:r w:rsidRPr="000C1EF0">
        <w:rPr>
          <w:vertAlign w:val="superscript"/>
        </w:rPr>
        <w:t>1</w:t>
      </w:r>
      <w:r w:rsidRPr="000C1EF0">
        <w:t>, E. Takács</w:t>
      </w:r>
      <w:r w:rsidRPr="000C1EF0">
        <w:rPr>
          <w:vertAlign w:val="superscript"/>
        </w:rPr>
        <w:t>1</w:t>
      </w:r>
      <w:r w:rsidRPr="000C1EF0">
        <w:t>, L. Wojnárovits</w:t>
      </w:r>
      <w:r w:rsidRPr="000C1EF0">
        <w:rPr>
          <w:vertAlign w:val="superscript"/>
        </w:rPr>
        <w:t>1</w:t>
      </w:r>
    </w:p>
    <w:p w:rsidR="00DD565E" w:rsidRPr="002E11DD" w:rsidRDefault="00DD565E" w:rsidP="00DD565E">
      <w:pPr>
        <w:ind w:left="142" w:hanging="142"/>
        <w:jc w:val="center"/>
      </w:pPr>
      <w:r w:rsidRPr="002E11DD">
        <w:rPr>
          <w:vertAlign w:val="superscript"/>
        </w:rPr>
        <w:t>1</w:t>
      </w:r>
      <w:r w:rsidRPr="002E11DD">
        <w:t>Institute for Energy Security and Environmental Safety, Centre for Energy Research, Hungarian Academy of Sciences, Budapest, Hungary</w:t>
      </w:r>
    </w:p>
    <w:p w:rsidR="00DD565E" w:rsidRPr="002E11DD" w:rsidRDefault="00DD565E" w:rsidP="00DD565E">
      <w:pPr>
        <w:ind w:left="181" w:hanging="181"/>
        <w:jc w:val="center"/>
      </w:pPr>
      <w:r w:rsidRPr="002E11DD">
        <w:rPr>
          <w:vertAlign w:val="superscript"/>
        </w:rPr>
        <w:t>2</w:t>
      </w:r>
      <w:r w:rsidRPr="002E11DD">
        <w:t>South-Pest Wa</w:t>
      </w:r>
      <w:r>
        <w:t>s</w:t>
      </w:r>
      <w:r w:rsidRPr="002E11DD">
        <w:t>tewater Treatment Plant</w:t>
      </w:r>
      <w:r>
        <w:t>,</w:t>
      </w:r>
      <w:r w:rsidRPr="002E11DD">
        <w:t xml:space="preserve"> Budapest,</w:t>
      </w:r>
      <w:r>
        <w:t xml:space="preserve"> Hungary</w:t>
      </w:r>
    </w:p>
    <w:p w:rsidR="00DD565E" w:rsidRPr="000C1EF0" w:rsidRDefault="00DD565E" w:rsidP="00DD565E">
      <w:pPr>
        <w:jc w:val="center"/>
      </w:pPr>
    </w:p>
    <w:p w:rsidR="00DD565E" w:rsidRPr="000C1EF0" w:rsidRDefault="00DD565E" w:rsidP="00DD565E">
      <w:pPr>
        <w:jc w:val="both"/>
      </w:pPr>
      <w:r w:rsidRPr="000C1EF0">
        <w:t>Removal efficiency of persistent organic substances in wastewater is mostly described by the rate of degradation. In numerous studies complete removal of target molecules have been reported, indicating a reasonable alternative for the waste treatment. However, these studies often ignore considerations of the inevitable questions of toxicity and biodegradability of the resulting solutions. Although the high removal rate is very important, but it does not necessarily have to be privileged, since minor alteration of the chemical structure may lead to considerable quality changes that improve the degradation efficiency by conventional technologies. It has been shown that the treatment of persistent organic pollutants by ionizing radiation leads to changes in chemical structure even at very low doses. Nevertheless, very little is known about the biological effects of the treated solutions.</w:t>
      </w:r>
    </w:p>
    <w:p w:rsidR="00DD565E" w:rsidRDefault="00DD565E" w:rsidP="00DD565E">
      <w:pPr>
        <w:jc w:val="both"/>
      </w:pPr>
      <w:r w:rsidRPr="000C1EF0">
        <w:t>Preparatory to recent study, degradation of sulfonamide antibiotics during ionizing radiation treatment was examined and general degradation mechanism was proposed after applying a large variety of analytical techniques in order to characterize the di</w:t>
      </w:r>
      <w:r>
        <w:t>fferent stages of decomposition.</w:t>
      </w:r>
      <w:r>
        <w:rPr>
          <w:vertAlign w:val="superscript"/>
        </w:rPr>
        <w:t>[1,2]</w:t>
      </w:r>
      <w:r>
        <w:t xml:space="preserve"> </w:t>
      </w:r>
      <w:r w:rsidRPr="000C1EF0">
        <w:t xml:space="preserve">In the knowledge of </w:t>
      </w:r>
      <w:r>
        <w:t>the</w:t>
      </w:r>
      <w:r w:rsidRPr="000C1EF0">
        <w:t xml:space="preserve"> chemical background, this presentation aims to introduce results obtained on </w:t>
      </w:r>
      <w:proofErr w:type="spellStart"/>
      <w:r w:rsidRPr="000C1EF0">
        <w:t>sulfamethoxazole</w:t>
      </w:r>
      <w:proofErr w:type="spellEnd"/>
      <w:r w:rsidRPr="000C1EF0">
        <w:t xml:space="preserve"> irradiation treatment in the 0-10 </w:t>
      </w:r>
      <w:proofErr w:type="spellStart"/>
      <w:r w:rsidRPr="000C1EF0">
        <w:t>kGy</w:t>
      </w:r>
      <w:proofErr w:type="spellEnd"/>
      <w:r w:rsidRPr="000C1EF0">
        <w:t xml:space="preserve"> range, in terms of crucial parameters mentioned in previous paragraph. Biological degradability and inhibitory effects were both investigated using municipal activated sludge. The biodegradability in 0.1 </w:t>
      </w:r>
      <w:proofErr w:type="spellStart"/>
      <w:r w:rsidRPr="000C1EF0">
        <w:t>mmol</w:t>
      </w:r>
      <w:proofErr w:type="spellEnd"/>
      <w:r w:rsidRPr="000C1EF0">
        <w:t xml:space="preserve"> dm</w:t>
      </w:r>
      <w:r w:rsidRPr="000C1EF0">
        <w:rPr>
          <w:vertAlign w:val="superscript"/>
        </w:rPr>
        <w:t>−3</w:t>
      </w:r>
      <w:r w:rsidRPr="000C1EF0">
        <w:t xml:space="preserve"> solutions was increased with only 0.4 </w:t>
      </w:r>
      <w:proofErr w:type="spellStart"/>
      <w:r w:rsidRPr="000C1EF0">
        <w:t>kGy</w:t>
      </w:r>
      <w:proofErr w:type="spellEnd"/>
      <w:r w:rsidRPr="000C1EF0">
        <w:t xml:space="preserve"> and prolonged irradiation induced further conversion to biologically treatable substances. At 2.5 </w:t>
      </w:r>
      <w:proofErr w:type="spellStart"/>
      <w:r w:rsidRPr="000C1EF0">
        <w:t>kGy</w:t>
      </w:r>
      <w:proofErr w:type="spellEnd"/>
      <w:r w:rsidRPr="000C1EF0">
        <w:t xml:space="preserve">, 16% of the chemically </w:t>
      </w:r>
      <w:proofErr w:type="spellStart"/>
      <w:r w:rsidRPr="000C1EF0">
        <w:t>oxidizable</w:t>
      </w:r>
      <w:proofErr w:type="spellEnd"/>
      <w:r w:rsidRPr="000C1EF0">
        <w:t xml:space="preserve"> organic matter was degraded by biological processes. The total organic carbon content showed a decrease of only 15% at this point, thus high degree of mineralization is not necessary to make the initial molecule available for microorganisms. During the process, formation of H</w:t>
      </w:r>
      <w:r w:rsidRPr="000C1EF0">
        <w:rPr>
          <w:vertAlign w:val="subscript"/>
        </w:rPr>
        <w:t>2</w:t>
      </w:r>
      <w:r w:rsidRPr="000C1EF0">
        <w:t>O</w:t>
      </w:r>
      <w:r w:rsidRPr="000C1EF0">
        <w:rPr>
          <w:vertAlign w:val="subscript"/>
        </w:rPr>
        <w:t>2</w:t>
      </w:r>
      <w:r w:rsidRPr="000C1EF0">
        <w:t xml:space="preserve"> was observed that may decisively influence the biological processes due to its bactericidal effect.</w:t>
      </w:r>
    </w:p>
    <w:p w:rsidR="00DD565E" w:rsidRPr="000C1EF0" w:rsidRDefault="00DD565E" w:rsidP="00DD565E">
      <w:pPr>
        <w:jc w:val="both"/>
      </w:pPr>
    </w:p>
    <w:p w:rsidR="00DD565E" w:rsidRPr="00364E92" w:rsidRDefault="00DD565E" w:rsidP="00CA6426">
      <w:pPr>
        <w:ind w:left="284" w:hanging="284"/>
        <w:rPr>
          <w:sz w:val="20"/>
        </w:rPr>
      </w:pPr>
      <w:bookmarkStart w:id="0" w:name="_GoBack"/>
      <w:r>
        <w:rPr>
          <w:sz w:val="20"/>
        </w:rPr>
        <w:t>[</w:t>
      </w:r>
      <w:r w:rsidRPr="0057131B">
        <w:rPr>
          <w:sz w:val="20"/>
        </w:rPr>
        <w:t>1</w:t>
      </w:r>
      <w:r>
        <w:rPr>
          <w:sz w:val="20"/>
        </w:rPr>
        <w:t xml:space="preserve">] </w:t>
      </w:r>
      <w:proofErr w:type="spellStart"/>
      <w:r>
        <w:rPr>
          <w:sz w:val="20"/>
        </w:rPr>
        <w:t>Gy</w:t>
      </w:r>
      <w:proofErr w:type="spellEnd"/>
      <w:r>
        <w:rPr>
          <w:sz w:val="20"/>
        </w:rPr>
        <w:t xml:space="preserve">. </w:t>
      </w:r>
      <w:proofErr w:type="spellStart"/>
      <w:r>
        <w:rPr>
          <w:sz w:val="20"/>
        </w:rPr>
        <w:t>Sági</w:t>
      </w:r>
      <w:proofErr w:type="spellEnd"/>
      <w:r>
        <w:rPr>
          <w:sz w:val="20"/>
        </w:rPr>
        <w:t xml:space="preserve"> et al.,</w:t>
      </w:r>
      <w:r w:rsidRPr="00364E92">
        <w:rPr>
          <w:sz w:val="20"/>
        </w:rPr>
        <w:t xml:space="preserve"> </w:t>
      </w:r>
      <w:r w:rsidRPr="0057131B">
        <w:rPr>
          <w:i/>
          <w:sz w:val="20"/>
        </w:rPr>
        <w:t xml:space="preserve">J. </w:t>
      </w:r>
      <w:proofErr w:type="spellStart"/>
      <w:r w:rsidRPr="0057131B">
        <w:rPr>
          <w:i/>
          <w:sz w:val="20"/>
        </w:rPr>
        <w:t>Radioanal</w:t>
      </w:r>
      <w:proofErr w:type="spellEnd"/>
      <w:r w:rsidRPr="0057131B">
        <w:rPr>
          <w:i/>
          <w:sz w:val="20"/>
        </w:rPr>
        <w:t xml:space="preserve">. </w:t>
      </w:r>
      <w:proofErr w:type="spellStart"/>
      <w:proofErr w:type="gramStart"/>
      <w:r w:rsidRPr="0057131B">
        <w:rPr>
          <w:i/>
          <w:sz w:val="20"/>
        </w:rPr>
        <w:t>Nucl</w:t>
      </w:r>
      <w:proofErr w:type="spellEnd"/>
      <w:r w:rsidRPr="0057131B">
        <w:rPr>
          <w:i/>
          <w:sz w:val="20"/>
        </w:rPr>
        <w:t>.</w:t>
      </w:r>
      <w:proofErr w:type="gramEnd"/>
      <w:r w:rsidRPr="0057131B">
        <w:rPr>
          <w:i/>
          <w:sz w:val="20"/>
        </w:rPr>
        <w:t xml:space="preserve"> </w:t>
      </w:r>
      <w:proofErr w:type="gramStart"/>
      <w:r w:rsidRPr="0057131B">
        <w:rPr>
          <w:i/>
          <w:sz w:val="20"/>
        </w:rPr>
        <w:t>Chem.</w:t>
      </w:r>
      <w:r>
        <w:rPr>
          <w:sz w:val="20"/>
        </w:rPr>
        <w:t xml:space="preserve">, </w:t>
      </w:r>
      <w:r w:rsidRPr="00A213D0">
        <w:rPr>
          <w:b/>
          <w:sz w:val="20"/>
        </w:rPr>
        <w:t>2014</w:t>
      </w:r>
      <w:r>
        <w:rPr>
          <w:sz w:val="20"/>
        </w:rPr>
        <w:t xml:space="preserve">, </w:t>
      </w:r>
      <w:r w:rsidRPr="00A213D0">
        <w:rPr>
          <w:i/>
          <w:sz w:val="20"/>
        </w:rPr>
        <w:t>301</w:t>
      </w:r>
      <w:r>
        <w:rPr>
          <w:sz w:val="20"/>
        </w:rPr>
        <w:t>, 475.</w:t>
      </w:r>
      <w:proofErr w:type="gramEnd"/>
    </w:p>
    <w:p w:rsidR="00DD565E" w:rsidRDefault="00DD565E" w:rsidP="00CA6426">
      <w:pPr>
        <w:ind w:left="284" w:hanging="284"/>
        <w:rPr>
          <w:sz w:val="20"/>
        </w:rPr>
      </w:pPr>
      <w:r>
        <w:rPr>
          <w:sz w:val="20"/>
        </w:rPr>
        <w:t>[</w:t>
      </w:r>
      <w:r w:rsidRPr="0057131B">
        <w:rPr>
          <w:sz w:val="20"/>
        </w:rPr>
        <w:t>2</w:t>
      </w:r>
      <w:r>
        <w:rPr>
          <w:sz w:val="20"/>
        </w:rPr>
        <w:t xml:space="preserve">] </w:t>
      </w:r>
      <w:proofErr w:type="spellStart"/>
      <w:r>
        <w:rPr>
          <w:sz w:val="20"/>
        </w:rPr>
        <w:t>Gy</w:t>
      </w:r>
      <w:proofErr w:type="spellEnd"/>
      <w:r>
        <w:rPr>
          <w:sz w:val="20"/>
        </w:rPr>
        <w:t xml:space="preserve">. </w:t>
      </w:r>
      <w:proofErr w:type="spellStart"/>
      <w:r w:rsidRPr="0057131B">
        <w:rPr>
          <w:sz w:val="20"/>
        </w:rPr>
        <w:t>Sági</w:t>
      </w:r>
      <w:proofErr w:type="spellEnd"/>
      <w:r>
        <w:rPr>
          <w:sz w:val="20"/>
        </w:rPr>
        <w:t xml:space="preserve"> et al.,</w:t>
      </w:r>
      <w:r w:rsidRPr="00364E92">
        <w:rPr>
          <w:sz w:val="20"/>
        </w:rPr>
        <w:t xml:space="preserve"> </w:t>
      </w:r>
      <w:r w:rsidRPr="0057131B">
        <w:rPr>
          <w:i/>
          <w:sz w:val="20"/>
        </w:rPr>
        <w:t xml:space="preserve">J. Pharm. Biomed. </w:t>
      </w:r>
      <w:proofErr w:type="gramStart"/>
      <w:r w:rsidRPr="0057131B">
        <w:rPr>
          <w:i/>
          <w:sz w:val="20"/>
        </w:rPr>
        <w:t>Anal.</w:t>
      </w:r>
      <w:r>
        <w:rPr>
          <w:sz w:val="20"/>
        </w:rPr>
        <w:t xml:space="preserve">, </w:t>
      </w:r>
      <w:r w:rsidRPr="00A213D0">
        <w:rPr>
          <w:b/>
          <w:sz w:val="20"/>
        </w:rPr>
        <w:t>2015</w:t>
      </w:r>
      <w:r>
        <w:rPr>
          <w:sz w:val="20"/>
        </w:rPr>
        <w:t xml:space="preserve">, </w:t>
      </w:r>
      <w:r w:rsidRPr="00A213D0">
        <w:rPr>
          <w:i/>
          <w:sz w:val="20"/>
        </w:rPr>
        <w:t>106</w:t>
      </w:r>
      <w:r>
        <w:rPr>
          <w:sz w:val="20"/>
        </w:rPr>
        <w:t>, 52.</w:t>
      </w:r>
      <w:proofErr w:type="gramEnd"/>
    </w:p>
    <w:bookmarkEnd w:id="0"/>
    <w:p w:rsidR="00DD565E" w:rsidRDefault="00DD565E" w:rsidP="00DD565E">
      <w:pPr>
        <w:rPr>
          <w:sz w:val="20"/>
        </w:rPr>
      </w:pPr>
    </w:p>
    <w:p w:rsidR="00DD565E" w:rsidRDefault="00DD565E" w:rsidP="00DD565E">
      <w:pPr>
        <w:rPr>
          <w:sz w:val="20"/>
        </w:rPr>
      </w:pPr>
    </w:p>
    <w:p w:rsidR="00DD565E" w:rsidRPr="002E11DD" w:rsidRDefault="00DD565E" w:rsidP="00DD565E">
      <w:pPr>
        <w:rPr>
          <w:sz w:val="20"/>
        </w:rPr>
      </w:pPr>
    </w:p>
    <w:p w:rsidR="00DD565E" w:rsidRDefault="00DD565E" w:rsidP="00DD565E">
      <w:pPr>
        <w:rPr>
          <w:b/>
          <w:sz w:val="28"/>
          <w:szCs w:val="28"/>
        </w:rPr>
      </w:pPr>
      <w:r>
        <w:rPr>
          <w:b/>
          <w:sz w:val="28"/>
          <w:szCs w:val="28"/>
        </w:rPr>
        <w:br w:type="page"/>
      </w:r>
    </w:p>
    <w:p w:rsidR="00DD565E" w:rsidRDefault="00DD565E" w:rsidP="00DD565E">
      <w:pPr>
        <w:jc w:val="center"/>
        <w:rPr>
          <w:b/>
          <w:sz w:val="28"/>
          <w:szCs w:val="28"/>
        </w:rPr>
      </w:pPr>
    </w:p>
    <w:p w:rsidR="00DD565E" w:rsidRPr="00D30BF1" w:rsidRDefault="00DD565E" w:rsidP="00DD565E">
      <w:pPr>
        <w:jc w:val="center"/>
        <w:rPr>
          <w:sz w:val="28"/>
          <w:szCs w:val="28"/>
        </w:rPr>
      </w:pPr>
      <w:r w:rsidRPr="00D30BF1">
        <w:rPr>
          <w:b/>
          <w:sz w:val="28"/>
          <w:szCs w:val="28"/>
        </w:rPr>
        <w:t>PENICILLINS IN THE FACET OF RADIATION CHEMISTRY</w:t>
      </w:r>
    </w:p>
    <w:p w:rsidR="00DD565E" w:rsidRPr="00605E78" w:rsidRDefault="00DD565E" w:rsidP="00DD565E">
      <w:pPr>
        <w:jc w:val="center"/>
      </w:pPr>
    </w:p>
    <w:p w:rsidR="00DD565E" w:rsidRDefault="00DD565E" w:rsidP="00DD565E">
      <w:pPr>
        <w:jc w:val="center"/>
      </w:pPr>
      <w:r w:rsidRPr="008A360D">
        <w:rPr>
          <w:u w:val="single"/>
        </w:rPr>
        <w:t>L. Szabó</w:t>
      </w:r>
      <w:r w:rsidRPr="008A360D">
        <w:rPr>
          <w:u w:val="single"/>
          <w:vertAlign w:val="superscript"/>
        </w:rPr>
        <w:t>1</w:t>
      </w:r>
      <w:proofErr w:type="gramStart"/>
      <w:r w:rsidRPr="008A360D">
        <w:rPr>
          <w:u w:val="single"/>
          <w:vertAlign w:val="superscript"/>
        </w:rPr>
        <w:t>,2</w:t>
      </w:r>
      <w:proofErr w:type="gramEnd"/>
      <w:r>
        <w:t>, T. Tóth</w:t>
      </w:r>
      <w:r w:rsidRPr="00D30BF1">
        <w:rPr>
          <w:vertAlign w:val="superscript"/>
        </w:rPr>
        <w:t>2</w:t>
      </w:r>
      <w:r>
        <w:t>, G. Rácz</w:t>
      </w:r>
      <w:r w:rsidRPr="00D30BF1">
        <w:rPr>
          <w:vertAlign w:val="superscript"/>
        </w:rPr>
        <w:t>1</w:t>
      </w:r>
      <w:r>
        <w:t>, T. Engelhardt</w:t>
      </w:r>
      <w:r w:rsidRPr="00D30BF1">
        <w:rPr>
          <w:vertAlign w:val="superscript"/>
        </w:rPr>
        <w:t>3</w:t>
      </w:r>
      <w:r>
        <w:t>, Cs. Mohácsi-Farkas</w:t>
      </w:r>
      <w:r w:rsidRPr="00D30BF1">
        <w:rPr>
          <w:vertAlign w:val="superscript"/>
        </w:rPr>
        <w:t>3</w:t>
      </w:r>
      <w:r>
        <w:t>, E. Takács</w:t>
      </w:r>
      <w:r w:rsidRPr="00D30BF1">
        <w:rPr>
          <w:vertAlign w:val="superscript"/>
        </w:rPr>
        <w:t>1</w:t>
      </w:r>
      <w:r>
        <w:t>,</w:t>
      </w:r>
    </w:p>
    <w:p w:rsidR="00DD565E" w:rsidRPr="00D30BF1" w:rsidRDefault="00DD565E" w:rsidP="00DD565E">
      <w:pPr>
        <w:jc w:val="center"/>
      </w:pPr>
      <w:r>
        <w:t>L. Wojnárovits</w:t>
      </w:r>
      <w:r w:rsidRPr="00D30BF1">
        <w:rPr>
          <w:vertAlign w:val="superscript"/>
        </w:rPr>
        <w:t>1</w:t>
      </w:r>
    </w:p>
    <w:p w:rsidR="00DD565E" w:rsidRPr="00D30BF1" w:rsidRDefault="00DD565E" w:rsidP="00DD565E">
      <w:pPr>
        <w:ind w:left="142" w:hanging="142"/>
        <w:jc w:val="center"/>
      </w:pPr>
      <w:r>
        <w:rPr>
          <w:vertAlign w:val="superscript"/>
        </w:rPr>
        <w:t>1</w:t>
      </w:r>
      <w:r w:rsidRPr="00D30BF1">
        <w:t>Institute for Energy Security and Environmental Safety, Centre for Energy Research, Hungarian Academy of Sciences, Budapest, Hungary</w:t>
      </w:r>
    </w:p>
    <w:p w:rsidR="00DD565E" w:rsidRPr="00D30BF1" w:rsidRDefault="00DD565E" w:rsidP="00DD565E">
      <w:pPr>
        <w:ind w:left="142" w:hanging="142"/>
        <w:jc w:val="center"/>
      </w:pPr>
      <w:r>
        <w:rPr>
          <w:vertAlign w:val="superscript"/>
        </w:rPr>
        <w:t>2</w:t>
      </w:r>
      <w:r w:rsidRPr="00D30BF1">
        <w:rPr>
          <w:color w:val="000000"/>
        </w:rPr>
        <w:t>Department of Organic Chemistry and Technology,</w:t>
      </w:r>
      <w:r w:rsidRPr="00D30BF1">
        <w:t xml:space="preserve"> Budapest University of Technology and Economics, Budapest, Hungary</w:t>
      </w:r>
    </w:p>
    <w:p w:rsidR="00DD565E" w:rsidRPr="00D30BF1" w:rsidRDefault="00DD565E" w:rsidP="00DD565E">
      <w:pPr>
        <w:ind w:left="142" w:hanging="142"/>
        <w:jc w:val="center"/>
      </w:pPr>
      <w:r>
        <w:rPr>
          <w:vertAlign w:val="superscript"/>
        </w:rPr>
        <w:t>3</w:t>
      </w:r>
      <w:r w:rsidRPr="00D30BF1">
        <w:t xml:space="preserve">Department of Microbiology and Biotechnology, </w:t>
      </w:r>
      <w:proofErr w:type="spellStart"/>
      <w:r w:rsidRPr="00D30BF1">
        <w:t>Corvinus</w:t>
      </w:r>
      <w:proofErr w:type="spellEnd"/>
      <w:r w:rsidRPr="00D30BF1">
        <w:t xml:space="preserve"> University of Budapest, Budapest, Hungary</w:t>
      </w:r>
    </w:p>
    <w:p w:rsidR="00DD565E" w:rsidRPr="00D30BF1" w:rsidRDefault="00DD565E" w:rsidP="00DD565E">
      <w:pPr>
        <w:jc w:val="center"/>
      </w:pPr>
    </w:p>
    <w:p w:rsidR="00DD565E" w:rsidRPr="00D30BF1" w:rsidRDefault="00DD565E" w:rsidP="00DD565E">
      <w:pPr>
        <w:jc w:val="both"/>
      </w:pPr>
      <w:r w:rsidRPr="00D30BF1">
        <w:t xml:space="preserve">There are two principally different issues that prompt to study the reactions of </w:t>
      </w:r>
      <w:proofErr w:type="spellStart"/>
      <w:r w:rsidRPr="00D30BF1">
        <w:t>penicillins</w:t>
      </w:r>
      <w:proofErr w:type="spellEnd"/>
      <w:r w:rsidRPr="00D30BF1">
        <w:t xml:space="preserve"> with water radiolysis intermediates. One concerns the applicability of radiation processing for the elimination of antibiotic residues that is omnipresent in wastewater matrices and facilitates the spread of antibiotic resistance involving also pathogenic bacterial species. From this point of view, one needs to focus on the reactions ultimately leading to the destruction of the </w:t>
      </w:r>
      <w:proofErr w:type="spellStart"/>
      <w:r w:rsidRPr="00D30BF1">
        <w:t>pharmacophore</w:t>
      </w:r>
      <w:proofErr w:type="spellEnd"/>
      <w:r w:rsidRPr="00D30BF1">
        <w:t xml:space="preserve"> of the penicillin (the </w:t>
      </w:r>
      <w:r w:rsidRPr="00D30BF1">
        <w:rPr>
          <w:i/>
        </w:rPr>
        <w:t>β</w:t>
      </w:r>
      <w:r w:rsidRPr="00D30BF1">
        <w:t xml:space="preserve">-lactam ring) that determines the antimicrobial activity. Evaluating the kinetics of the reactions of </w:t>
      </w:r>
      <w:r w:rsidRPr="00D30BF1">
        <w:rPr>
          <w:vertAlign w:val="superscript"/>
        </w:rPr>
        <w:sym w:font="Symbol" w:char="F0B7"/>
      </w:r>
      <w:r w:rsidRPr="00D30BF1">
        <w:t xml:space="preserve">OH and </w:t>
      </w:r>
      <w:proofErr w:type="spellStart"/>
      <w:r w:rsidRPr="00D30BF1">
        <w:t>e</w:t>
      </w:r>
      <w:r w:rsidRPr="00D30BF1">
        <w:rPr>
          <w:vertAlign w:val="subscript"/>
        </w:rPr>
        <w:t>aq</w:t>
      </w:r>
      <w:proofErr w:type="spellEnd"/>
      <w:r w:rsidRPr="00D30BF1">
        <w:rPr>
          <w:vertAlign w:val="superscript"/>
        </w:rPr>
        <w:sym w:font="Symbol" w:char="F02D"/>
      </w:r>
      <w:r w:rsidRPr="00D30BF1">
        <w:t xml:space="preserve"> with these antibiotics and determining the stoichiometry of the antimicrobial deactivation to achieve an effective rate constant is of special interest for implementation of the technique. On the other hand, the effects of the products on bacterial species also have to be probed to ensure the elimination of any selective pressure and prove the reliability of the process.</w:t>
      </w:r>
      <w:r>
        <w:t xml:space="preserve"> </w:t>
      </w:r>
      <w:r w:rsidRPr="00D30BF1">
        <w:t xml:space="preserve">Another issue aids to understand </w:t>
      </w:r>
      <w:r w:rsidRPr="00D30BF1">
        <w:rPr>
          <w:i/>
        </w:rPr>
        <w:t>in vivo</w:t>
      </w:r>
      <w:r w:rsidRPr="00D30BF1">
        <w:t xml:space="preserve"> processes since these antibiotics target mitochondrial components generating oxidative stress and thereby reactive oxygen species. Establishing one electron oxidation/reduction mechanisms and identifying reactive intermediates are therein the main subjects.</w:t>
      </w:r>
    </w:p>
    <w:p w:rsidR="00DD565E" w:rsidRPr="00D30BF1" w:rsidRDefault="00DD565E" w:rsidP="00DD565E">
      <w:pPr>
        <w:jc w:val="center"/>
        <w:rPr>
          <w:lang w:val="en-GB"/>
        </w:rPr>
      </w:pPr>
      <w:r>
        <w:rPr>
          <w:noProof/>
          <w:lang w:val="hu-HU" w:eastAsia="hu-HU"/>
        </w:rPr>
        <w:drawing>
          <wp:inline distT="0" distB="0" distL="0" distR="0" wp14:anchorId="1EBCCA21" wp14:editId="4BA30956">
            <wp:extent cx="4428699" cy="868416"/>
            <wp:effectExtent l="0" t="0" r="0" b="8255"/>
            <wp:docPr id="29" name="Kép 29" descr="C:\Users\EKPC-03\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KPC-03\Desktop\untitled.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2764" cy="873135"/>
                    </a:xfrm>
                    <a:prstGeom prst="rect">
                      <a:avLst/>
                    </a:prstGeom>
                    <a:noFill/>
                    <a:ln>
                      <a:noFill/>
                    </a:ln>
                  </pic:spPr>
                </pic:pic>
              </a:graphicData>
            </a:graphic>
          </wp:inline>
        </w:drawing>
      </w:r>
    </w:p>
    <w:p w:rsidR="00DD565E" w:rsidRDefault="00DD565E" w:rsidP="00DD565E">
      <w:pPr>
        <w:jc w:val="center"/>
        <w:rPr>
          <w:sz w:val="20"/>
        </w:rPr>
      </w:pPr>
      <w:r>
        <w:rPr>
          <w:sz w:val="20"/>
        </w:rPr>
        <w:t>Figure 1.Investigated compounds.</w:t>
      </w:r>
    </w:p>
    <w:p w:rsidR="00DD565E" w:rsidRDefault="00DD565E" w:rsidP="00DD565E">
      <w:pPr>
        <w:jc w:val="both"/>
      </w:pPr>
      <w:r>
        <w:t xml:space="preserve"> </w:t>
      </w:r>
    </w:p>
    <w:p w:rsidR="00DD565E" w:rsidRDefault="00DD565E" w:rsidP="00DD565E">
      <w:pPr>
        <w:jc w:val="both"/>
      </w:pPr>
      <w:r w:rsidRPr="00D30BF1">
        <w:t xml:space="preserve">Widely used derivatives were chosen as model compounds: amoxicillin, ampicillin, </w:t>
      </w:r>
      <w:proofErr w:type="spellStart"/>
      <w:r w:rsidRPr="00D30BF1">
        <w:t>cloxacillin</w:t>
      </w:r>
      <w:proofErr w:type="spellEnd"/>
      <w:r w:rsidRPr="00D30BF1">
        <w:t xml:space="preserve"> and their common 6-aminopenicillanic acid nucleus. Pulse radiolysis technique was utilized to shed light on the kinetics and mechanism of the early processes, whereas final product analysis and bacterial bioassays were carried out after steady-state gamma-irradiation. The </w:t>
      </w:r>
      <w:proofErr w:type="spellStart"/>
      <w:r w:rsidRPr="00D30BF1">
        <w:t>pharmacophore</w:t>
      </w:r>
      <w:proofErr w:type="spellEnd"/>
      <w:r w:rsidRPr="00D30BF1">
        <w:t xml:space="preserve"> was tracked by using UV/</w:t>
      </w:r>
      <w:r>
        <w:t>Vis and IR spectroscopic method</w:t>
      </w:r>
      <w:r w:rsidRPr="00D30BF1">
        <w:t>s.</w:t>
      </w:r>
      <w:r>
        <w:t xml:space="preserve"> </w:t>
      </w:r>
      <w:r w:rsidRPr="00D30BF1">
        <w:t>This presentation will attempt to give a picture of the above issues by introducing recent results.</w:t>
      </w:r>
    </w:p>
    <w:p w:rsidR="00DD565E" w:rsidRDefault="00DD565E" w:rsidP="00DD565E">
      <w:pPr>
        <w:rPr>
          <w:b/>
          <w:sz w:val="28"/>
        </w:rPr>
      </w:pPr>
      <w:r>
        <w:rPr>
          <w:b/>
          <w:sz w:val="28"/>
        </w:rPr>
        <w:br w:type="page"/>
      </w:r>
    </w:p>
    <w:p w:rsidR="00DD565E" w:rsidRDefault="00DD565E" w:rsidP="00DD565E">
      <w:pPr>
        <w:jc w:val="center"/>
        <w:rPr>
          <w:b/>
          <w:sz w:val="28"/>
        </w:rPr>
      </w:pPr>
    </w:p>
    <w:p w:rsidR="00DD565E" w:rsidRPr="005D3481" w:rsidRDefault="00DD565E" w:rsidP="00DD565E">
      <w:pPr>
        <w:jc w:val="center"/>
        <w:rPr>
          <w:b/>
          <w:sz w:val="28"/>
        </w:rPr>
      </w:pPr>
      <w:r w:rsidRPr="005D3481">
        <w:rPr>
          <w:b/>
          <w:sz w:val="28"/>
        </w:rPr>
        <w:t>HYDROXYL RADICAL REACTIONS WITH MONURON</w:t>
      </w:r>
    </w:p>
    <w:p w:rsidR="00DD565E" w:rsidRPr="00605E78" w:rsidRDefault="00DD565E" w:rsidP="00DD565E">
      <w:pPr>
        <w:jc w:val="center"/>
        <w:rPr>
          <w:lang w:val="en-GB"/>
        </w:rPr>
      </w:pPr>
    </w:p>
    <w:p w:rsidR="00DD565E" w:rsidRPr="005D3481" w:rsidRDefault="00DD565E" w:rsidP="00DD565E">
      <w:pPr>
        <w:jc w:val="center"/>
        <w:rPr>
          <w:lang w:val="en-GB"/>
        </w:rPr>
      </w:pPr>
      <w:r w:rsidRPr="00357EA5">
        <w:rPr>
          <w:u w:val="single"/>
          <w:lang w:val="en-GB"/>
        </w:rPr>
        <w:t>V. Mile</w:t>
      </w:r>
      <w:r w:rsidRPr="00357EA5">
        <w:rPr>
          <w:u w:val="single"/>
          <w:vertAlign w:val="superscript"/>
          <w:lang w:val="en-GB"/>
        </w:rPr>
        <w:t>1</w:t>
      </w:r>
      <w:r w:rsidRPr="005D3481">
        <w:rPr>
          <w:lang w:val="en-GB"/>
        </w:rPr>
        <w:t>, I. Harsányi</w:t>
      </w:r>
      <w:r w:rsidRPr="005D3481">
        <w:rPr>
          <w:vertAlign w:val="superscript"/>
          <w:lang w:val="en-GB"/>
        </w:rPr>
        <w:t>1</w:t>
      </w:r>
      <w:r w:rsidRPr="005D3481">
        <w:rPr>
          <w:lang w:val="en-GB"/>
        </w:rPr>
        <w:t>, K. Kovács</w:t>
      </w:r>
      <w:r w:rsidRPr="005D3481">
        <w:rPr>
          <w:vertAlign w:val="superscript"/>
          <w:lang w:val="en-GB"/>
        </w:rPr>
        <w:t>1</w:t>
      </w:r>
      <w:r w:rsidRPr="005D3481">
        <w:rPr>
          <w:lang w:val="en-GB"/>
        </w:rPr>
        <w:t>, T. Földes</w:t>
      </w:r>
      <w:r w:rsidRPr="005D3481">
        <w:rPr>
          <w:vertAlign w:val="superscript"/>
          <w:lang w:val="en-GB"/>
        </w:rPr>
        <w:t>2</w:t>
      </w:r>
      <w:r w:rsidRPr="005D3481">
        <w:rPr>
          <w:lang w:val="en-GB"/>
        </w:rPr>
        <w:t>, I. Pápai</w:t>
      </w:r>
      <w:r w:rsidRPr="005D3481">
        <w:rPr>
          <w:vertAlign w:val="superscript"/>
          <w:lang w:val="en-GB"/>
        </w:rPr>
        <w:t>2</w:t>
      </w:r>
      <w:r w:rsidRPr="005D3481">
        <w:rPr>
          <w:lang w:val="en-GB"/>
        </w:rPr>
        <w:t>, E. Takács</w:t>
      </w:r>
      <w:r w:rsidRPr="005D3481">
        <w:rPr>
          <w:vertAlign w:val="superscript"/>
          <w:lang w:val="en-GB"/>
        </w:rPr>
        <w:t>1</w:t>
      </w:r>
      <w:r w:rsidRPr="005D3481">
        <w:rPr>
          <w:lang w:val="en-GB"/>
        </w:rPr>
        <w:t>, L. Wojnárovits</w:t>
      </w:r>
      <w:r w:rsidRPr="005D3481">
        <w:rPr>
          <w:vertAlign w:val="superscript"/>
          <w:lang w:val="en-GB"/>
        </w:rPr>
        <w:t>1</w:t>
      </w:r>
    </w:p>
    <w:p w:rsidR="00DD565E" w:rsidRPr="005D3481" w:rsidRDefault="00DD565E" w:rsidP="00DD565E">
      <w:pPr>
        <w:ind w:left="181" w:hanging="181"/>
        <w:jc w:val="center"/>
      </w:pPr>
      <w:r w:rsidRPr="005D3481">
        <w:rPr>
          <w:vertAlign w:val="superscript"/>
        </w:rPr>
        <w:t>1</w:t>
      </w:r>
      <w:r>
        <w:rPr>
          <w:vertAlign w:val="superscript"/>
        </w:rPr>
        <w:t xml:space="preserve"> </w:t>
      </w:r>
      <w:r w:rsidRPr="005D3481">
        <w:t>Institute for Energy Security and Environmental Safety, Centre for Energy Research, Hungarian Academy of Sciences, Budapest, Hungary</w:t>
      </w:r>
    </w:p>
    <w:p w:rsidR="00DD565E" w:rsidRDefault="00DD565E" w:rsidP="00DD565E">
      <w:pPr>
        <w:ind w:left="181" w:hanging="181"/>
        <w:jc w:val="center"/>
      </w:pPr>
      <w:r w:rsidRPr="005D3481">
        <w:rPr>
          <w:vertAlign w:val="superscript"/>
        </w:rPr>
        <w:t>2</w:t>
      </w:r>
      <w:r>
        <w:rPr>
          <w:vertAlign w:val="superscript"/>
        </w:rPr>
        <w:t xml:space="preserve"> </w:t>
      </w:r>
      <w:r w:rsidRPr="005D3481">
        <w:t>Institute of Organic Chemistry, Research Centre for Natural Sciences, Hungarian Academy of Sciences, Budapest, Hungary</w:t>
      </w:r>
    </w:p>
    <w:p w:rsidR="00DD565E" w:rsidRPr="005D3481" w:rsidRDefault="00DD565E" w:rsidP="00DD565E">
      <w:pPr>
        <w:ind w:left="181" w:hanging="181"/>
        <w:jc w:val="both"/>
      </w:pPr>
    </w:p>
    <w:p w:rsidR="00DD565E" w:rsidRPr="00A15B5A" w:rsidRDefault="00DD565E" w:rsidP="00DD565E">
      <w:pPr>
        <w:jc w:val="both"/>
        <w:rPr>
          <w:lang w:val="en-GB"/>
        </w:rPr>
      </w:pPr>
      <w:r w:rsidRPr="00A15B5A">
        <w:rPr>
          <w:lang w:val="en-GB"/>
        </w:rPr>
        <w:t xml:space="preserve">In Advanced Oxidation Processes hydroxyl radicals are the reactive intermediates which induce the decomposition of toxic organic compounds present in water matrices. Previously, the degradation of </w:t>
      </w:r>
      <w:proofErr w:type="spellStart"/>
      <w:r w:rsidRPr="00A15B5A">
        <w:rPr>
          <w:lang w:val="en-GB"/>
        </w:rPr>
        <w:t>monuron</w:t>
      </w:r>
      <w:proofErr w:type="spellEnd"/>
      <w:r w:rsidRPr="00A15B5A">
        <w:rPr>
          <w:lang w:val="en-GB"/>
        </w:rPr>
        <w:t xml:space="preserve"> (3-(4-chlorophenyl)-1</w:t>
      </w:r>
      <w:proofErr w:type="gramStart"/>
      <w:r w:rsidRPr="00A15B5A">
        <w:rPr>
          <w:lang w:val="en-GB"/>
        </w:rPr>
        <w:t>,1</w:t>
      </w:r>
      <w:proofErr w:type="gramEnd"/>
      <w:r w:rsidRPr="00A15B5A">
        <w:rPr>
          <w:lang w:val="en-GB"/>
        </w:rPr>
        <w:t>-dimethylurea) in dilute aqueous solution (1×10</w:t>
      </w:r>
      <w:r w:rsidRPr="00A15B5A">
        <w:rPr>
          <w:vertAlign w:val="superscript"/>
          <w:lang w:val="en-GB"/>
        </w:rPr>
        <w:t>-4</w:t>
      </w:r>
      <w:r w:rsidRPr="00A15B5A">
        <w:rPr>
          <w:lang w:val="en-GB"/>
        </w:rPr>
        <w:t xml:space="preserve"> </w:t>
      </w:r>
      <w:proofErr w:type="spellStart"/>
      <w:r w:rsidRPr="00A15B5A">
        <w:rPr>
          <w:lang w:val="en-GB"/>
        </w:rPr>
        <w:t>mol</w:t>
      </w:r>
      <w:proofErr w:type="spellEnd"/>
      <w:r w:rsidRPr="00A15B5A">
        <w:rPr>
          <w:lang w:val="en-GB"/>
        </w:rPr>
        <w:t>/dm</w:t>
      </w:r>
      <w:r w:rsidRPr="00A15B5A">
        <w:rPr>
          <w:vertAlign w:val="superscript"/>
          <w:lang w:val="en-GB"/>
        </w:rPr>
        <w:t>3</w:t>
      </w:r>
      <w:r w:rsidRPr="00A15B5A">
        <w:rPr>
          <w:lang w:val="en-GB"/>
        </w:rPr>
        <w:t xml:space="preserve">) was studied in our laboratory. </w:t>
      </w:r>
      <w:r w:rsidRPr="00A15B5A">
        <w:t xml:space="preserve">Based on the experimental results, the main process is the reaction between </w:t>
      </w:r>
      <w:proofErr w:type="spellStart"/>
      <w:r w:rsidRPr="00A15B5A">
        <w:t>monuron</w:t>
      </w:r>
      <w:proofErr w:type="spellEnd"/>
      <w:r w:rsidRPr="00A15B5A">
        <w:t xml:space="preserve"> and </w:t>
      </w:r>
      <w:r w:rsidRPr="00A15B5A">
        <w:rPr>
          <w:vertAlign w:val="superscript"/>
        </w:rPr>
        <w:t>●</w:t>
      </w:r>
      <w:r w:rsidRPr="00A15B5A">
        <w:t xml:space="preserve">OH </w:t>
      </w:r>
      <w:r w:rsidRPr="00A15B5A">
        <w:rPr>
          <w:lang w:val="en-GB"/>
        </w:rPr>
        <w:t xml:space="preserve">forming </w:t>
      </w:r>
      <w:proofErr w:type="spellStart"/>
      <w:r w:rsidRPr="00A15B5A">
        <w:rPr>
          <w:lang w:val="en-GB"/>
        </w:rPr>
        <w:t>hydroxycyclohexadienyl</w:t>
      </w:r>
      <w:proofErr w:type="spellEnd"/>
      <w:r w:rsidRPr="00A15B5A">
        <w:rPr>
          <w:lang w:val="en-GB"/>
        </w:rPr>
        <w:t xml:space="preserve"> radica</w:t>
      </w:r>
      <w:r>
        <w:rPr>
          <w:lang w:val="en-GB"/>
        </w:rPr>
        <w:t>l.</w:t>
      </w:r>
    </w:p>
    <w:p w:rsidR="00DD565E" w:rsidRPr="00A15B5A" w:rsidRDefault="00DD565E" w:rsidP="00DD565E">
      <w:pPr>
        <w:jc w:val="both"/>
        <w:rPr>
          <w:lang w:val="en-GB"/>
        </w:rPr>
      </w:pPr>
      <w:r w:rsidRPr="00A15B5A">
        <w:rPr>
          <w:lang w:val="en-GB" w:eastAsia="hu-HU"/>
        </w:rPr>
        <w:t xml:space="preserve">The present work focuses on the aromatic ring hydroxylation using quantum chemical calculations. The addition of hydroxyl radical to the aromatic ring can take place at different positions. The different possible reaction pathways were studied by means of Density Functional Theory (DFT). </w:t>
      </w:r>
      <w:r w:rsidRPr="00A15B5A">
        <w:rPr>
          <w:lang w:val="en-GB"/>
        </w:rPr>
        <w:t xml:space="preserve">All geometrical optimizations were carried out </w:t>
      </w:r>
      <w:r w:rsidRPr="00A15B5A">
        <w:t>using the DFT/B3LYP/6-311++</w:t>
      </w:r>
      <w:proofErr w:type="gramStart"/>
      <w:r w:rsidRPr="00A15B5A">
        <w:t>G(</w:t>
      </w:r>
      <w:proofErr w:type="spellStart"/>
      <w:proofErr w:type="gramEnd"/>
      <w:r w:rsidRPr="00A15B5A">
        <w:t>d,p</w:t>
      </w:r>
      <w:proofErr w:type="spellEnd"/>
      <w:r w:rsidRPr="00A15B5A">
        <w:t>) methodology</w:t>
      </w:r>
      <w:r w:rsidRPr="00A15B5A">
        <w:rPr>
          <w:lang w:val="en-GB"/>
        </w:rPr>
        <w:t xml:space="preserve"> </w:t>
      </w:r>
      <w:r w:rsidRPr="00A15B5A">
        <w:rPr>
          <w:lang w:val="en-GB" w:eastAsia="hu-HU"/>
        </w:rPr>
        <w:t>in aqueous medium applying the Solvation Model Density (SMD).</w:t>
      </w:r>
      <w:r w:rsidRPr="00A15B5A">
        <w:rPr>
          <w:lang w:val="en-GB"/>
        </w:rPr>
        <w:t xml:space="preserve"> The electronic energy was refined by single-point energy calculations at the B3LYP/6-311++</w:t>
      </w:r>
      <w:proofErr w:type="gramStart"/>
      <w:r w:rsidRPr="00A15B5A">
        <w:rPr>
          <w:lang w:val="en-GB"/>
        </w:rPr>
        <w:t>G(</w:t>
      </w:r>
      <w:proofErr w:type="gramEnd"/>
      <w:r w:rsidRPr="00A15B5A">
        <w:rPr>
          <w:lang w:val="en-GB"/>
        </w:rPr>
        <w:t>3df,3pd) level.</w:t>
      </w:r>
    </w:p>
    <w:p w:rsidR="00DD565E" w:rsidRPr="00A15B5A" w:rsidRDefault="00DD565E" w:rsidP="00DD565E">
      <w:pPr>
        <w:keepNext/>
        <w:jc w:val="center"/>
      </w:pPr>
      <w:r w:rsidRPr="00A15B5A">
        <w:rPr>
          <w:noProof/>
          <w:lang w:val="hu-HU" w:eastAsia="hu-HU"/>
        </w:rPr>
        <w:drawing>
          <wp:inline distT="0" distB="0" distL="0" distR="0" wp14:anchorId="48AA0EAB" wp14:editId="3F019B93">
            <wp:extent cx="1285876" cy="1080000"/>
            <wp:effectExtent l="0" t="0" r="0" b="635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6" cy="1080000"/>
                    </a:xfrm>
                    <a:prstGeom prst="rect">
                      <a:avLst/>
                    </a:prstGeom>
                  </pic:spPr>
                </pic:pic>
              </a:graphicData>
            </a:graphic>
          </wp:inline>
        </w:drawing>
      </w:r>
      <w:r w:rsidRPr="00A15B5A">
        <w:tab/>
      </w:r>
      <w:r w:rsidRPr="00A15B5A">
        <w:rPr>
          <w:noProof/>
          <w:lang w:val="hu-HU" w:eastAsia="hu-HU"/>
        </w:rPr>
        <w:t xml:space="preserve"> </w:t>
      </w:r>
      <w:r w:rsidRPr="00A15B5A">
        <w:rPr>
          <w:noProof/>
          <w:lang w:val="hu-HU" w:eastAsia="hu-HU"/>
        </w:rPr>
        <w:drawing>
          <wp:inline distT="0" distB="0" distL="0" distR="0" wp14:anchorId="3BBA2DFE" wp14:editId="70835013">
            <wp:extent cx="1824327" cy="1080000"/>
            <wp:effectExtent l="0" t="0" r="5080" b="635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824327" cy="1080000"/>
                    </a:xfrm>
                    <a:prstGeom prst="rect">
                      <a:avLst/>
                    </a:prstGeom>
                  </pic:spPr>
                </pic:pic>
              </a:graphicData>
            </a:graphic>
          </wp:inline>
        </w:drawing>
      </w:r>
    </w:p>
    <w:p w:rsidR="00DD565E" w:rsidRDefault="00DD565E" w:rsidP="00DD565E">
      <w:pPr>
        <w:pStyle w:val="Kpalrs"/>
        <w:spacing w:after="0"/>
        <w:jc w:val="center"/>
        <w:rPr>
          <w:b w:val="0"/>
          <w:color w:val="auto"/>
          <w:sz w:val="20"/>
          <w:szCs w:val="24"/>
        </w:rPr>
      </w:pPr>
      <w:proofErr w:type="gramStart"/>
      <w:r w:rsidRPr="00A15B5A">
        <w:rPr>
          <w:b w:val="0"/>
          <w:color w:val="auto"/>
          <w:sz w:val="20"/>
          <w:szCs w:val="24"/>
        </w:rPr>
        <w:t>Figure 1.</w:t>
      </w:r>
      <w:proofErr w:type="gramEnd"/>
      <w:r w:rsidRPr="00A15B5A">
        <w:rPr>
          <w:color w:val="auto"/>
          <w:sz w:val="20"/>
          <w:szCs w:val="24"/>
        </w:rPr>
        <w:t xml:space="preserve"> </w:t>
      </w:r>
      <w:r w:rsidRPr="00A15B5A">
        <w:rPr>
          <w:color w:val="FF0000"/>
          <w:sz w:val="20"/>
          <w:szCs w:val="24"/>
        </w:rPr>
        <w:t>Activation energies</w:t>
      </w:r>
      <w:r w:rsidRPr="00A15B5A">
        <w:rPr>
          <w:b w:val="0"/>
          <w:color w:val="FF0000"/>
          <w:sz w:val="20"/>
          <w:szCs w:val="24"/>
        </w:rPr>
        <w:t xml:space="preserve"> </w:t>
      </w:r>
      <w:r w:rsidRPr="00A15B5A">
        <w:rPr>
          <w:b w:val="0"/>
          <w:color w:val="auto"/>
          <w:sz w:val="20"/>
          <w:szCs w:val="24"/>
        </w:rPr>
        <w:t xml:space="preserve">and </w:t>
      </w:r>
      <w:r w:rsidRPr="00A15B5A">
        <w:rPr>
          <w:color w:val="0000FF"/>
          <w:sz w:val="20"/>
          <w:szCs w:val="24"/>
        </w:rPr>
        <w:t>Gibbs free energies</w:t>
      </w:r>
      <w:r w:rsidRPr="00A15B5A">
        <w:rPr>
          <w:b w:val="0"/>
          <w:color w:val="auto"/>
          <w:sz w:val="20"/>
          <w:szCs w:val="24"/>
        </w:rPr>
        <w:t xml:space="preserve"> </w:t>
      </w:r>
      <w:r w:rsidRPr="00176AEF">
        <w:rPr>
          <w:color w:val="0000FF"/>
          <w:sz w:val="20"/>
          <w:szCs w:val="24"/>
        </w:rPr>
        <w:t>of the reactions</w:t>
      </w:r>
      <w:r w:rsidRPr="00176AEF">
        <w:rPr>
          <w:b w:val="0"/>
          <w:color w:val="0070C0"/>
          <w:sz w:val="20"/>
          <w:szCs w:val="24"/>
        </w:rPr>
        <w:t xml:space="preserve"> </w:t>
      </w:r>
      <w:r w:rsidRPr="00A15B5A">
        <w:rPr>
          <w:b w:val="0"/>
          <w:color w:val="auto"/>
          <w:sz w:val="20"/>
          <w:szCs w:val="24"/>
        </w:rPr>
        <w:t>in kJ/</w:t>
      </w:r>
      <w:proofErr w:type="spellStart"/>
      <w:r w:rsidRPr="00A15B5A">
        <w:rPr>
          <w:b w:val="0"/>
          <w:color w:val="auto"/>
          <w:sz w:val="20"/>
          <w:szCs w:val="24"/>
        </w:rPr>
        <w:t>mol</w:t>
      </w:r>
      <w:proofErr w:type="spellEnd"/>
      <w:r w:rsidRPr="00A15B5A">
        <w:rPr>
          <w:b w:val="0"/>
          <w:color w:val="auto"/>
          <w:sz w:val="20"/>
          <w:szCs w:val="24"/>
        </w:rPr>
        <w:t xml:space="preserve"> (left) and product of the </w:t>
      </w:r>
      <w:r w:rsidRPr="00A15B5A">
        <w:rPr>
          <w:b w:val="0"/>
          <w:i/>
          <w:color w:val="auto"/>
          <w:sz w:val="20"/>
          <w:szCs w:val="24"/>
        </w:rPr>
        <w:t>para</w:t>
      </w:r>
      <w:r w:rsidRPr="00A15B5A">
        <w:rPr>
          <w:b w:val="0"/>
          <w:color w:val="auto"/>
          <w:sz w:val="20"/>
          <w:szCs w:val="24"/>
        </w:rPr>
        <w:t xml:space="preserve"> addition reaction which shows loss of </w:t>
      </w:r>
      <w:proofErr w:type="gramStart"/>
      <w:r w:rsidRPr="00A15B5A">
        <w:rPr>
          <w:b w:val="0"/>
          <w:color w:val="auto"/>
          <w:sz w:val="20"/>
          <w:szCs w:val="24"/>
        </w:rPr>
        <w:t>a chlorine</w:t>
      </w:r>
      <w:proofErr w:type="gramEnd"/>
      <w:r w:rsidRPr="00A15B5A">
        <w:rPr>
          <w:b w:val="0"/>
          <w:color w:val="auto"/>
          <w:sz w:val="20"/>
          <w:szCs w:val="24"/>
        </w:rPr>
        <w:t xml:space="preserve"> (right).</w:t>
      </w:r>
    </w:p>
    <w:p w:rsidR="00DD565E" w:rsidRPr="00A213D0" w:rsidRDefault="00DD565E" w:rsidP="00DD565E"/>
    <w:p w:rsidR="00DD565E" w:rsidRDefault="00DD565E" w:rsidP="00DD565E">
      <w:pPr>
        <w:jc w:val="both"/>
        <w:rPr>
          <w:lang w:val="en-GB" w:eastAsia="hu-HU"/>
        </w:rPr>
      </w:pPr>
      <w:r w:rsidRPr="00A15B5A">
        <w:rPr>
          <w:lang w:val="en-GB" w:eastAsia="hu-HU"/>
        </w:rPr>
        <w:t xml:space="preserve">The </w:t>
      </w:r>
      <w:r w:rsidRPr="00A15B5A">
        <w:rPr>
          <w:i/>
          <w:lang w:val="en-GB" w:eastAsia="hu-HU"/>
        </w:rPr>
        <w:t>para</w:t>
      </w:r>
      <w:r w:rsidRPr="00A15B5A">
        <w:rPr>
          <w:lang w:val="en-GB" w:eastAsia="hu-HU"/>
        </w:rPr>
        <w:t xml:space="preserve"> addition path is an energetically favourable reaction with loss of </w:t>
      </w:r>
      <w:proofErr w:type="gramStart"/>
      <w:r w:rsidRPr="00A15B5A">
        <w:rPr>
          <w:lang w:val="en-GB" w:eastAsia="hu-HU"/>
        </w:rPr>
        <w:t>a chlorine</w:t>
      </w:r>
      <w:proofErr w:type="gramEnd"/>
      <w:r w:rsidRPr="00A15B5A">
        <w:rPr>
          <w:lang w:val="en-GB" w:eastAsia="hu-HU"/>
        </w:rPr>
        <w:t xml:space="preserve">. The Cl elimination </w:t>
      </w:r>
      <w:r w:rsidRPr="00A15B5A">
        <w:rPr>
          <w:lang w:val="en-GB"/>
        </w:rPr>
        <w:t xml:space="preserve">is in good agreement with the results of chemical analysis. </w:t>
      </w:r>
      <w:r w:rsidRPr="00A15B5A">
        <w:rPr>
          <w:lang w:val="en-GB" w:eastAsia="hu-HU"/>
        </w:rPr>
        <w:t xml:space="preserve">The bond length of </w:t>
      </w:r>
      <w:proofErr w:type="spellStart"/>
      <w:r w:rsidRPr="00A15B5A">
        <w:rPr>
          <w:lang w:val="en-GB" w:eastAsia="hu-HU"/>
        </w:rPr>
        <w:t>C</w:t>
      </w:r>
      <w:r w:rsidRPr="00A15B5A">
        <w:rPr>
          <w:vertAlign w:val="subscript"/>
          <w:lang w:val="en-GB" w:eastAsia="hu-HU"/>
        </w:rPr>
        <w:t>ring</w:t>
      </w:r>
      <w:proofErr w:type="spellEnd"/>
      <w:r w:rsidRPr="00A15B5A">
        <w:rPr>
          <w:b/>
          <w:vertAlign w:val="superscript"/>
          <w:lang w:val="en-GB" w:eastAsia="hu-HU"/>
        </w:rPr>
        <w:t>….</w:t>
      </w:r>
      <w:proofErr w:type="spellStart"/>
      <w:r w:rsidRPr="00A15B5A">
        <w:rPr>
          <w:lang w:val="en-GB" w:eastAsia="hu-HU"/>
        </w:rPr>
        <w:t>O</w:t>
      </w:r>
      <w:r w:rsidRPr="00A15B5A">
        <w:rPr>
          <w:vertAlign w:val="subscript"/>
          <w:lang w:val="en-GB" w:eastAsia="hu-HU"/>
        </w:rPr>
        <w:t>radical</w:t>
      </w:r>
      <w:proofErr w:type="spellEnd"/>
      <w:r w:rsidRPr="00A15B5A">
        <w:rPr>
          <w:lang w:val="en-GB" w:eastAsia="hu-HU"/>
        </w:rPr>
        <w:t xml:space="preserve"> is 1.32 Å for the </w:t>
      </w:r>
      <w:r w:rsidRPr="00A15B5A">
        <w:rPr>
          <w:i/>
          <w:lang w:val="en-GB" w:eastAsia="hu-HU"/>
        </w:rPr>
        <w:t>para</w:t>
      </w:r>
      <w:r w:rsidRPr="00A15B5A">
        <w:rPr>
          <w:lang w:val="en-GB" w:eastAsia="hu-HU"/>
        </w:rPr>
        <w:t xml:space="preserve"> addition product. In case of </w:t>
      </w:r>
      <w:r w:rsidRPr="00A15B5A">
        <w:rPr>
          <w:i/>
          <w:lang w:val="en-GB" w:eastAsia="hu-HU"/>
        </w:rPr>
        <w:t>ipso</w:t>
      </w:r>
      <w:r w:rsidRPr="00A15B5A">
        <w:rPr>
          <w:lang w:val="en-GB" w:eastAsia="hu-HU"/>
        </w:rPr>
        <w:t xml:space="preserve">-, </w:t>
      </w:r>
      <w:proofErr w:type="spellStart"/>
      <w:r w:rsidRPr="00A15B5A">
        <w:rPr>
          <w:i/>
          <w:lang w:val="en-GB" w:eastAsia="hu-HU"/>
        </w:rPr>
        <w:t>ortho</w:t>
      </w:r>
      <w:proofErr w:type="spellEnd"/>
      <w:r w:rsidRPr="00A15B5A">
        <w:rPr>
          <w:lang w:val="en-GB" w:eastAsia="hu-HU"/>
        </w:rPr>
        <w:t xml:space="preserve">- and </w:t>
      </w:r>
      <w:r w:rsidRPr="00A15B5A">
        <w:rPr>
          <w:i/>
          <w:lang w:val="en-GB" w:eastAsia="hu-HU"/>
        </w:rPr>
        <w:t>meta</w:t>
      </w:r>
      <w:r w:rsidRPr="00A15B5A">
        <w:rPr>
          <w:lang w:val="en-GB" w:eastAsia="hu-HU"/>
        </w:rPr>
        <w:t>-</w:t>
      </w:r>
      <w:proofErr w:type="spellStart"/>
      <w:r w:rsidRPr="00A15B5A">
        <w:rPr>
          <w:lang w:val="en-GB"/>
        </w:rPr>
        <w:t>hydroxycyclohexadienyl</w:t>
      </w:r>
      <w:proofErr w:type="spellEnd"/>
      <w:r w:rsidRPr="00A15B5A">
        <w:rPr>
          <w:lang w:val="en-GB" w:eastAsia="hu-HU"/>
        </w:rPr>
        <w:t xml:space="preserve"> </w:t>
      </w:r>
      <w:r>
        <w:rPr>
          <w:lang w:val="en-GB" w:eastAsia="hu-HU"/>
        </w:rPr>
        <w:t xml:space="preserve">radical </w:t>
      </w:r>
      <w:r w:rsidRPr="00A15B5A">
        <w:rPr>
          <w:lang w:val="en-GB" w:eastAsia="hu-HU"/>
        </w:rPr>
        <w:t xml:space="preserve">the </w:t>
      </w:r>
      <w:proofErr w:type="spellStart"/>
      <w:r w:rsidRPr="00A15B5A">
        <w:rPr>
          <w:lang w:val="en-GB" w:eastAsia="hu-HU"/>
        </w:rPr>
        <w:t>C</w:t>
      </w:r>
      <w:r w:rsidRPr="00A15B5A">
        <w:rPr>
          <w:vertAlign w:val="subscript"/>
          <w:lang w:val="en-GB" w:eastAsia="hu-HU"/>
        </w:rPr>
        <w:t>ring</w:t>
      </w:r>
      <w:proofErr w:type="spellEnd"/>
      <w:r w:rsidRPr="00A15B5A">
        <w:rPr>
          <w:b/>
          <w:vertAlign w:val="superscript"/>
          <w:lang w:val="en-GB" w:eastAsia="hu-HU"/>
        </w:rPr>
        <w:t>….</w:t>
      </w:r>
      <w:proofErr w:type="spellStart"/>
      <w:r w:rsidRPr="00A15B5A">
        <w:rPr>
          <w:lang w:val="en-GB" w:eastAsia="hu-HU"/>
        </w:rPr>
        <w:t>O</w:t>
      </w:r>
      <w:r w:rsidRPr="00A15B5A">
        <w:rPr>
          <w:vertAlign w:val="subscript"/>
          <w:lang w:val="en-GB" w:eastAsia="hu-HU"/>
        </w:rPr>
        <w:t>radical</w:t>
      </w:r>
      <w:proofErr w:type="spellEnd"/>
      <w:r w:rsidRPr="00A15B5A">
        <w:rPr>
          <w:vertAlign w:val="subscript"/>
          <w:lang w:val="en-GB" w:eastAsia="hu-HU"/>
        </w:rPr>
        <w:t xml:space="preserve"> </w:t>
      </w:r>
      <w:r w:rsidRPr="00A15B5A">
        <w:rPr>
          <w:lang w:val="en-GB" w:eastAsia="hu-HU"/>
        </w:rPr>
        <w:t xml:space="preserve">distances are about 1.46 Å. The </w:t>
      </w:r>
      <w:proofErr w:type="spellStart"/>
      <w:r w:rsidRPr="00A15B5A">
        <w:rPr>
          <w:lang w:val="en-GB" w:eastAsia="hu-HU"/>
        </w:rPr>
        <w:t>C</w:t>
      </w:r>
      <w:r w:rsidRPr="00A15B5A">
        <w:rPr>
          <w:vertAlign w:val="subscript"/>
          <w:lang w:val="en-GB" w:eastAsia="hu-HU"/>
        </w:rPr>
        <w:t>ring</w:t>
      </w:r>
      <w:proofErr w:type="spellEnd"/>
      <w:r w:rsidRPr="00A15B5A">
        <w:rPr>
          <w:b/>
          <w:vertAlign w:val="superscript"/>
          <w:lang w:val="en-GB" w:eastAsia="hu-HU"/>
        </w:rPr>
        <w:t>….</w:t>
      </w:r>
      <w:proofErr w:type="spellStart"/>
      <w:r w:rsidRPr="00A15B5A">
        <w:rPr>
          <w:lang w:val="en-GB" w:eastAsia="hu-HU"/>
        </w:rPr>
        <w:t>O</w:t>
      </w:r>
      <w:r w:rsidRPr="00A15B5A">
        <w:rPr>
          <w:vertAlign w:val="subscript"/>
          <w:lang w:val="en-GB" w:eastAsia="hu-HU"/>
        </w:rPr>
        <w:t>radical</w:t>
      </w:r>
      <w:proofErr w:type="spellEnd"/>
      <w:r w:rsidRPr="00A15B5A">
        <w:rPr>
          <w:lang w:val="en-GB"/>
        </w:rPr>
        <w:t xml:space="preserve"> distance of the transition states vary between 2.03 and 2.15</w:t>
      </w:r>
      <w:r w:rsidRPr="00A15B5A">
        <w:rPr>
          <w:lang w:val="en-GB" w:eastAsia="hu-HU"/>
        </w:rPr>
        <w:t xml:space="preserve"> Å except for </w:t>
      </w:r>
      <w:r w:rsidRPr="00A15B5A">
        <w:rPr>
          <w:i/>
          <w:lang w:val="en-GB" w:eastAsia="hu-HU"/>
        </w:rPr>
        <w:t>ortho2</w:t>
      </w:r>
      <w:r w:rsidRPr="00A15B5A">
        <w:rPr>
          <w:lang w:val="en-GB" w:eastAsia="hu-HU"/>
        </w:rPr>
        <w:t xml:space="preserve"> transition state. In this case </w:t>
      </w:r>
      <w:r w:rsidRPr="00A15B5A">
        <w:t>no transition state was found</w:t>
      </w:r>
      <w:r w:rsidRPr="00A15B5A">
        <w:rPr>
          <w:lang w:val="en-GB" w:eastAsia="hu-HU"/>
        </w:rPr>
        <w:t xml:space="preserve"> using the aqueous continuum solvation model. Without applying SMD (e.g. in vacuum) the </w:t>
      </w:r>
      <w:proofErr w:type="spellStart"/>
      <w:r w:rsidRPr="00A15B5A">
        <w:rPr>
          <w:lang w:val="en-GB" w:eastAsia="hu-HU"/>
        </w:rPr>
        <w:t>C</w:t>
      </w:r>
      <w:r w:rsidRPr="00A15B5A">
        <w:rPr>
          <w:vertAlign w:val="subscript"/>
          <w:lang w:val="en-GB" w:eastAsia="hu-HU"/>
        </w:rPr>
        <w:t>ring</w:t>
      </w:r>
      <w:proofErr w:type="spellEnd"/>
      <w:r w:rsidRPr="00A15B5A">
        <w:rPr>
          <w:b/>
          <w:vertAlign w:val="superscript"/>
          <w:lang w:val="en-GB" w:eastAsia="hu-HU"/>
        </w:rPr>
        <w:t>….</w:t>
      </w:r>
      <w:proofErr w:type="spellStart"/>
      <w:r w:rsidRPr="00A15B5A">
        <w:rPr>
          <w:lang w:val="en-GB" w:eastAsia="hu-HU"/>
        </w:rPr>
        <w:t>O</w:t>
      </w:r>
      <w:r w:rsidRPr="00A15B5A">
        <w:rPr>
          <w:vertAlign w:val="subscript"/>
          <w:lang w:val="en-GB" w:eastAsia="hu-HU"/>
        </w:rPr>
        <w:t>radical</w:t>
      </w:r>
      <w:proofErr w:type="spellEnd"/>
      <w:r w:rsidRPr="00A15B5A">
        <w:rPr>
          <w:lang w:val="en-GB"/>
        </w:rPr>
        <w:t xml:space="preserve"> distance of the transition state of </w:t>
      </w:r>
      <w:r w:rsidRPr="00A15B5A">
        <w:rPr>
          <w:i/>
          <w:lang w:val="en-GB"/>
        </w:rPr>
        <w:t>ortho2</w:t>
      </w:r>
      <w:r w:rsidRPr="00A15B5A">
        <w:rPr>
          <w:lang w:val="en-GB"/>
        </w:rPr>
        <w:t xml:space="preserve">-additon is 2.19 </w:t>
      </w:r>
      <w:r w:rsidRPr="00A15B5A">
        <w:rPr>
          <w:lang w:val="en-GB" w:eastAsia="hu-HU"/>
        </w:rPr>
        <w:t>Å.</w:t>
      </w:r>
    </w:p>
    <w:p w:rsidR="00DD565E" w:rsidRDefault="00DD565E" w:rsidP="00DD565E">
      <w:pPr>
        <w:jc w:val="both"/>
        <w:rPr>
          <w:lang w:val="en-GB" w:eastAsia="hu-HU"/>
        </w:rPr>
      </w:pPr>
    </w:p>
    <w:p w:rsidR="00DD565E" w:rsidRDefault="00DD565E" w:rsidP="00DD565E">
      <w:pPr>
        <w:jc w:val="both"/>
        <w:rPr>
          <w:lang w:val="en-GB" w:eastAsia="hu-HU"/>
        </w:rPr>
      </w:pPr>
    </w:p>
    <w:p w:rsidR="00173D7E" w:rsidRPr="00CC0F5C" w:rsidRDefault="00173D7E" w:rsidP="00DD565E">
      <w:pPr>
        <w:jc w:val="center"/>
        <w:rPr>
          <w:color w:val="000000"/>
        </w:rPr>
      </w:pPr>
    </w:p>
    <w:sectPr w:rsidR="00173D7E" w:rsidRPr="00CC0F5C" w:rsidSect="0006725B">
      <w:headerReference w:type="default" r:id="rId14"/>
      <w:pgSz w:w="12240" w:h="15840"/>
      <w:pgMar w:top="1440" w:right="1800" w:bottom="1440" w:left="180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B6" w:rsidRDefault="00BE6BB6" w:rsidP="00385BAB">
      <w:r>
        <w:separator/>
      </w:r>
    </w:p>
  </w:endnote>
  <w:endnote w:type="continuationSeparator" w:id="0">
    <w:p w:rsidR="00BE6BB6" w:rsidRDefault="00BE6BB6" w:rsidP="0038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B6" w:rsidRDefault="00BE6BB6" w:rsidP="00385BAB">
      <w:r>
        <w:separator/>
      </w:r>
    </w:p>
  </w:footnote>
  <w:footnote w:type="continuationSeparator" w:id="0">
    <w:p w:rsidR="00BE6BB6" w:rsidRDefault="00BE6BB6" w:rsidP="0038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AB" w:rsidRDefault="00385BAB" w:rsidP="00385BAB">
    <w:pPr>
      <w:pStyle w:val="lfej"/>
      <w:jc w:val="center"/>
    </w:pPr>
    <w:r>
      <w:rPr>
        <w:noProof/>
        <w:lang w:val="hu-HU" w:eastAsia="hu-HU"/>
      </w:rPr>
      <w:drawing>
        <wp:inline distT="0" distB="0" distL="0" distR="0" wp14:anchorId="2BBF6CFC" wp14:editId="69C4D82F">
          <wp:extent cx="4019550" cy="828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157"/>
    <w:multiLevelType w:val="hybridMultilevel"/>
    <w:tmpl w:val="FC6A2EBC"/>
    <w:lvl w:ilvl="0" w:tplc="E68AEB28">
      <w:start w:val="1"/>
      <w:numFmt w:val="upperLetter"/>
      <w:lvlText w:val="%1."/>
      <w:lvlJc w:val="left"/>
      <w:pPr>
        <w:ind w:left="1080" w:hanging="360"/>
      </w:pPr>
      <w:rPr>
        <w:rFonts w:hint="default"/>
        <w:u w:val="singl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3145560C"/>
    <w:multiLevelType w:val="hybridMultilevel"/>
    <w:tmpl w:val="A3A8F942"/>
    <w:lvl w:ilvl="0" w:tplc="873A1C22">
      <w:start w:val="1"/>
      <w:numFmt w:val="upperLetter"/>
      <w:lvlText w:val="%1."/>
      <w:lvlJc w:val="left"/>
      <w:pPr>
        <w:ind w:left="1080" w:hanging="360"/>
      </w:pPr>
      <w:rPr>
        <w:rFonts w:hint="default"/>
        <w:u w:val="singl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58F445C8"/>
    <w:multiLevelType w:val="hybridMultilevel"/>
    <w:tmpl w:val="679AE47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81B3305"/>
    <w:multiLevelType w:val="hybridMultilevel"/>
    <w:tmpl w:val="2C0417D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84"/>
    <w:rsid w:val="0006725B"/>
    <w:rsid w:val="00074238"/>
    <w:rsid w:val="000E295F"/>
    <w:rsid w:val="0014272D"/>
    <w:rsid w:val="001549B5"/>
    <w:rsid w:val="00173D7E"/>
    <w:rsid w:val="001C216F"/>
    <w:rsid w:val="001C2FE8"/>
    <w:rsid w:val="00213FC7"/>
    <w:rsid w:val="002313CF"/>
    <w:rsid w:val="00385BAB"/>
    <w:rsid w:val="00423039"/>
    <w:rsid w:val="005037C0"/>
    <w:rsid w:val="005213DE"/>
    <w:rsid w:val="00533C95"/>
    <w:rsid w:val="005E2462"/>
    <w:rsid w:val="00605E78"/>
    <w:rsid w:val="0062210E"/>
    <w:rsid w:val="006478EF"/>
    <w:rsid w:val="00650737"/>
    <w:rsid w:val="00656926"/>
    <w:rsid w:val="00667B3E"/>
    <w:rsid w:val="006723E5"/>
    <w:rsid w:val="0067380E"/>
    <w:rsid w:val="00674290"/>
    <w:rsid w:val="00680955"/>
    <w:rsid w:val="006F339D"/>
    <w:rsid w:val="00724393"/>
    <w:rsid w:val="00737200"/>
    <w:rsid w:val="00810C47"/>
    <w:rsid w:val="00832807"/>
    <w:rsid w:val="008410D8"/>
    <w:rsid w:val="0086487F"/>
    <w:rsid w:val="00886030"/>
    <w:rsid w:val="008F4AEE"/>
    <w:rsid w:val="00915EF8"/>
    <w:rsid w:val="009539C0"/>
    <w:rsid w:val="00966C87"/>
    <w:rsid w:val="009F4723"/>
    <w:rsid w:val="00A12D95"/>
    <w:rsid w:val="00A213D0"/>
    <w:rsid w:val="00A44280"/>
    <w:rsid w:val="00A87CA7"/>
    <w:rsid w:val="00AE4684"/>
    <w:rsid w:val="00B07CD9"/>
    <w:rsid w:val="00B13870"/>
    <w:rsid w:val="00B54780"/>
    <w:rsid w:val="00B72FA3"/>
    <w:rsid w:val="00B74284"/>
    <w:rsid w:val="00BE6BB6"/>
    <w:rsid w:val="00C71E97"/>
    <w:rsid w:val="00C808EE"/>
    <w:rsid w:val="00C83A1B"/>
    <w:rsid w:val="00CA6426"/>
    <w:rsid w:val="00CC0F5C"/>
    <w:rsid w:val="00D1676F"/>
    <w:rsid w:val="00D938FD"/>
    <w:rsid w:val="00DD565E"/>
    <w:rsid w:val="00E34CBE"/>
    <w:rsid w:val="00EC260F"/>
    <w:rsid w:val="00F81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lang w:val="en-US" w:eastAsia="en-US"/>
    </w:rPr>
  </w:style>
  <w:style w:type="paragraph" w:styleId="Cmsor3">
    <w:name w:val="heading 3"/>
    <w:basedOn w:val="Norml"/>
    <w:next w:val="Norml"/>
    <w:qFormat/>
    <w:rsid w:val="00074238"/>
    <w:pPr>
      <w:keepNext/>
      <w:spacing w:before="240" w:after="60"/>
      <w:outlineLvl w:val="2"/>
    </w:pPr>
    <w:rPr>
      <w:rFonts w:ascii="Arial" w:eastAsia="Calibri" w:hAnsi="Arial" w:cs="Arial"/>
      <w:b/>
      <w:bCs/>
      <w:sz w:val="26"/>
      <w:szCs w:val="26"/>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85BAB"/>
    <w:pPr>
      <w:tabs>
        <w:tab w:val="center" w:pos="4536"/>
        <w:tab w:val="right" w:pos="9072"/>
      </w:tabs>
    </w:pPr>
  </w:style>
  <w:style w:type="character" w:customStyle="1" w:styleId="lfejChar">
    <w:name w:val="Élőfej Char"/>
    <w:basedOn w:val="Bekezdsalapbettpusa"/>
    <w:link w:val="lfej"/>
    <w:rsid w:val="00385BAB"/>
    <w:rPr>
      <w:sz w:val="24"/>
      <w:szCs w:val="24"/>
      <w:lang w:val="en-US" w:eastAsia="en-US"/>
    </w:rPr>
  </w:style>
  <w:style w:type="paragraph" w:styleId="llb">
    <w:name w:val="footer"/>
    <w:basedOn w:val="Norml"/>
    <w:link w:val="llbChar"/>
    <w:rsid w:val="00385BAB"/>
    <w:pPr>
      <w:tabs>
        <w:tab w:val="center" w:pos="4536"/>
        <w:tab w:val="right" w:pos="9072"/>
      </w:tabs>
    </w:pPr>
  </w:style>
  <w:style w:type="character" w:customStyle="1" w:styleId="llbChar">
    <w:name w:val="Élőláb Char"/>
    <w:basedOn w:val="Bekezdsalapbettpusa"/>
    <w:link w:val="llb"/>
    <w:rsid w:val="00385BAB"/>
    <w:rPr>
      <w:sz w:val="24"/>
      <w:szCs w:val="24"/>
      <w:lang w:val="en-US" w:eastAsia="en-US"/>
    </w:rPr>
  </w:style>
  <w:style w:type="paragraph" w:styleId="Buborkszveg">
    <w:name w:val="Balloon Text"/>
    <w:basedOn w:val="Norml"/>
    <w:link w:val="BuborkszvegChar"/>
    <w:rsid w:val="00D938FD"/>
    <w:rPr>
      <w:rFonts w:ascii="Tahoma" w:hAnsi="Tahoma" w:cs="Tahoma"/>
      <w:sz w:val="16"/>
      <w:szCs w:val="16"/>
    </w:rPr>
  </w:style>
  <w:style w:type="character" w:customStyle="1" w:styleId="BuborkszvegChar">
    <w:name w:val="Buborékszöveg Char"/>
    <w:basedOn w:val="Bekezdsalapbettpusa"/>
    <w:link w:val="Buborkszveg"/>
    <w:rsid w:val="00D938FD"/>
    <w:rPr>
      <w:rFonts w:ascii="Tahoma" w:hAnsi="Tahoma" w:cs="Tahoma"/>
      <w:sz w:val="16"/>
      <w:szCs w:val="16"/>
      <w:lang w:val="en-US" w:eastAsia="en-US"/>
    </w:rPr>
  </w:style>
  <w:style w:type="paragraph" w:styleId="Kpalrs">
    <w:name w:val="caption"/>
    <w:basedOn w:val="Norml"/>
    <w:next w:val="Norml"/>
    <w:unhideWhenUsed/>
    <w:qFormat/>
    <w:rsid w:val="00D938FD"/>
    <w:pPr>
      <w:spacing w:after="200"/>
    </w:pPr>
    <w:rPr>
      <w:b/>
      <w:bCs/>
      <w:color w:val="4F81BD" w:themeColor="accent1"/>
      <w:sz w:val="18"/>
      <w:szCs w:val="18"/>
    </w:rPr>
  </w:style>
  <w:style w:type="paragraph" w:styleId="Listaszerbekezds">
    <w:name w:val="List Paragraph"/>
    <w:basedOn w:val="Norml"/>
    <w:uiPriority w:val="34"/>
    <w:qFormat/>
    <w:rsid w:val="00680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lang w:val="en-US" w:eastAsia="en-US"/>
    </w:rPr>
  </w:style>
  <w:style w:type="paragraph" w:styleId="Cmsor3">
    <w:name w:val="heading 3"/>
    <w:basedOn w:val="Norml"/>
    <w:next w:val="Norml"/>
    <w:qFormat/>
    <w:rsid w:val="00074238"/>
    <w:pPr>
      <w:keepNext/>
      <w:spacing w:before="240" w:after="60"/>
      <w:outlineLvl w:val="2"/>
    </w:pPr>
    <w:rPr>
      <w:rFonts w:ascii="Arial" w:eastAsia="Calibri" w:hAnsi="Arial" w:cs="Arial"/>
      <w:b/>
      <w:bCs/>
      <w:sz w:val="26"/>
      <w:szCs w:val="26"/>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85BAB"/>
    <w:pPr>
      <w:tabs>
        <w:tab w:val="center" w:pos="4536"/>
        <w:tab w:val="right" w:pos="9072"/>
      </w:tabs>
    </w:pPr>
  </w:style>
  <w:style w:type="character" w:customStyle="1" w:styleId="lfejChar">
    <w:name w:val="Élőfej Char"/>
    <w:basedOn w:val="Bekezdsalapbettpusa"/>
    <w:link w:val="lfej"/>
    <w:rsid w:val="00385BAB"/>
    <w:rPr>
      <w:sz w:val="24"/>
      <w:szCs w:val="24"/>
      <w:lang w:val="en-US" w:eastAsia="en-US"/>
    </w:rPr>
  </w:style>
  <w:style w:type="paragraph" w:styleId="llb">
    <w:name w:val="footer"/>
    <w:basedOn w:val="Norml"/>
    <w:link w:val="llbChar"/>
    <w:rsid w:val="00385BAB"/>
    <w:pPr>
      <w:tabs>
        <w:tab w:val="center" w:pos="4536"/>
        <w:tab w:val="right" w:pos="9072"/>
      </w:tabs>
    </w:pPr>
  </w:style>
  <w:style w:type="character" w:customStyle="1" w:styleId="llbChar">
    <w:name w:val="Élőláb Char"/>
    <w:basedOn w:val="Bekezdsalapbettpusa"/>
    <w:link w:val="llb"/>
    <w:rsid w:val="00385BAB"/>
    <w:rPr>
      <w:sz w:val="24"/>
      <w:szCs w:val="24"/>
      <w:lang w:val="en-US" w:eastAsia="en-US"/>
    </w:rPr>
  </w:style>
  <w:style w:type="paragraph" w:styleId="Buborkszveg">
    <w:name w:val="Balloon Text"/>
    <w:basedOn w:val="Norml"/>
    <w:link w:val="BuborkszvegChar"/>
    <w:rsid w:val="00D938FD"/>
    <w:rPr>
      <w:rFonts w:ascii="Tahoma" w:hAnsi="Tahoma" w:cs="Tahoma"/>
      <w:sz w:val="16"/>
      <w:szCs w:val="16"/>
    </w:rPr>
  </w:style>
  <w:style w:type="character" w:customStyle="1" w:styleId="BuborkszvegChar">
    <w:name w:val="Buborékszöveg Char"/>
    <w:basedOn w:val="Bekezdsalapbettpusa"/>
    <w:link w:val="Buborkszveg"/>
    <w:rsid w:val="00D938FD"/>
    <w:rPr>
      <w:rFonts w:ascii="Tahoma" w:hAnsi="Tahoma" w:cs="Tahoma"/>
      <w:sz w:val="16"/>
      <w:szCs w:val="16"/>
      <w:lang w:val="en-US" w:eastAsia="en-US"/>
    </w:rPr>
  </w:style>
  <w:style w:type="paragraph" w:styleId="Kpalrs">
    <w:name w:val="caption"/>
    <w:basedOn w:val="Norml"/>
    <w:next w:val="Norml"/>
    <w:unhideWhenUsed/>
    <w:qFormat/>
    <w:rsid w:val="00D938FD"/>
    <w:pPr>
      <w:spacing w:after="200"/>
    </w:pPr>
    <w:rPr>
      <w:b/>
      <w:bCs/>
      <w:color w:val="4F81BD" w:themeColor="accent1"/>
      <w:sz w:val="18"/>
      <w:szCs w:val="18"/>
    </w:rPr>
  </w:style>
  <w:style w:type="paragraph" w:styleId="Listaszerbekezds">
    <w:name w:val="List Paragraph"/>
    <w:basedOn w:val="Norml"/>
    <w:uiPriority w:val="34"/>
    <w:qFormat/>
    <w:rsid w:val="0068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7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C585-944E-4215-B771-8CB973F1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8187</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The 1</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dc:title>
  <dc:creator>Borsa Judit</dc:creator>
  <cp:lastModifiedBy>homre</cp:lastModifiedBy>
  <cp:revision>3</cp:revision>
  <cp:lastPrinted>2018-11-12T11:52:00Z</cp:lastPrinted>
  <dcterms:created xsi:type="dcterms:W3CDTF">2018-11-12T12:10:00Z</dcterms:created>
  <dcterms:modified xsi:type="dcterms:W3CDTF">2018-11-13T09:24:00Z</dcterms:modified>
</cp:coreProperties>
</file>